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5CD1EC" w14:textId="77777777" w:rsidR="00640E37" w:rsidRPr="00240861" w:rsidRDefault="00640E37" w:rsidP="00E36646">
      <w:pPr>
        <w:ind w:right="87"/>
        <w:rPr>
          <w:rFonts w:asciiTheme="minorHAnsi" w:hAnsiTheme="minorHAnsi" w:cstheme="minorHAnsi"/>
          <w:color w:val="58595B"/>
          <w:sz w:val="24"/>
          <w:szCs w:val="24"/>
        </w:rPr>
      </w:pPr>
    </w:p>
    <w:tbl>
      <w:tblPr>
        <w:tblW w:w="103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01"/>
        <w:gridCol w:w="5850"/>
      </w:tblGrid>
      <w:tr w:rsidR="009B0CEE" w:rsidRPr="00240861" w14:paraId="35BA9DF5" w14:textId="77777777" w:rsidTr="00E53CFF">
        <w:trPr>
          <w:trHeight w:val="988"/>
        </w:trPr>
        <w:tc>
          <w:tcPr>
            <w:tcW w:w="4501" w:type="dxa"/>
          </w:tcPr>
          <w:p w14:paraId="34EE31B0" w14:textId="77777777" w:rsidR="009B0CEE" w:rsidRPr="00240861" w:rsidRDefault="009B0CEE" w:rsidP="00E36646">
            <w:pPr>
              <w:tabs>
                <w:tab w:val="left" w:pos="1320"/>
              </w:tabs>
              <w:ind w:right="87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40861">
              <w:rPr>
                <w:rFonts w:asciiTheme="minorHAnsi" w:hAnsiTheme="minorHAnsi" w:cstheme="minorHAnsi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 wp14:anchorId="2E6EE1B0" wp14:editId="6ED4E0BF">
                  <wp:extent cx="2400268" cy="1724889"/>
                  <wp:effectExtent l="19050" t="0" r="32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026" cy="1727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50" w:type="dxa"/>
          </w:tcPr>
          <w:p w14:paraId="30F4F672" w14:textId="77777777" w:rsidR="009B0CEE" w:rsidRPr="00240861" w:rsidRDefault="00E11448" w:rsidP="00E36646">
            <w:pPr>
              <w:pStyle w:val="Titolo1"/>
              <w:ind w:right="87"/>
              <w:jc w:val="left"/>
              <w:rPr>
                <w:rFonts w:asciiTheme="minorHAnsi" w:hAnsiTheme="minorHAnsi" w:cstheme="minorHAnsi"/>
                <w:szCs w:val="24"/>
              </w:rPr>
            </w:pPr>
            <w:r w:rsidRPr="00240861">
              <w:rPr>
                <w:rFonts w:asciiTheme="minorHAnsi" w:hAnsiTheme="minorHAnsi" w:cstheme="minorHAnsi"/>
                <w:i/>
                <w:szCs w:val="24"/>
              </w:rPr>
              <w:t xml:space="preserve"> </w:t>
            </w:r>
          </w:p>
          <w:p w14:paraId="409F2E28" w14:textId="77777777" w:rsidR="00EE3F8C" w:rsidRPr="00240861" w:rsidRDefault="00EE3F8C" w:rsidP="00E36646">
            <w:pPr>
              <w:ind w:right="87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  <w:tr w:rsidR="009B0CEE" w:rsidRPr="00240861" w14:paraId="7928F0B8" w14:textId="77777777" w:rsidTr="00E53CFF">
        <w:trPr>
          <w:trHeight w:val="988"/>
        </w:trPr>
        <w:tc>
          <w:tcPr>
            <w:tcW w:w="4501" w:type="dxa"/>
          </w:tcPr>
          <w:p w14:paraId="534A8948" w14:textId="5BC6CCD3" w:rsidR="009B0CEE" w:rsidRPr="00240861" w:rsidRDefault="002D4DED" w:rsidP="00E36646">
            <w:pPr>
              <w:tabs>
                <w:tab w:val="left" w:pos="1320"/>
              </w:tabs>
              <w:ind w:right="87"/>
              <w:jc w:val="center"/>
              <w:rPr>
                <w:rFonts w:asciiTheme="minorHAnsi" w:hAnsiTheme="minorHAnsi" w:cstheme="minorHAnsi"/>
                <w:b/>
                <w:i/>
                <w:noProof/>
                <w:color w:val="1F497D" w:themeColor="text2"/>
                <w:sz w:val="24"/>
                <w:szCs w:val="24"/>
              </w:rPr>
            </w:pPr>
            <w:r w:rsidRPr="00240861">
              <w:rPr>
                <w:rFonts w:asciiTheme="minorHAnsi" w:hAnsiTheme="minorHAnsi" w:cstheme="minorHAnsi"/>
                <w:b/>
                <w:i/>
                <w:noProof/>
                <w:color w:val="1F497D" w:themeColor="text2"/>
                <w:sz w:val="24"/>
                <w:szCs w:val="24"/>
              </w:rPr>
              <w:t>Ispettorato T</w:t>
            </w:r>
            <w:r w:rsidR="00A93EE5" w:rsidRPr="00240861">
              <w:rPr>
                <w:rFonts w:asciiTheme="minorHAnsi" w:hAnsiTheme="minorHAnsi" w:cstheme="minorHAnsi"/>
                <w:b/>
                <w:i/>
                <w:noProof/>
                <w:color w:val="1F497D" w:themeColor="text2"/>
                <w:sz w:val="24"/>
                <w:szCs w:val="24"/>
              </w:rPr>
              <w:t xml:space="preserve">erritoriale </w:t>
            </w:r>
            <w:r w:rsidR="0025394C">
              <w:rPr>
                <w:rFonts w:asciiTheme="minorHAnsi" w:hAnsiTheme="minorHAnsi" w:cstheme="minorHAnsi"/>
                <w:b/>
                <w:i/>
                <w:noProof/>
                <w:color w:val="1F497D" w:themeColor="text2"/>
                <w:sz w:val="24"/>
                <w:szCs w:val="24"/>
              </w:rPr>
              <w:t xml:space="preserve">di </w:t>
            </w:r>
            <w:r w:rsidR="00C822C8">
              <w:rPr>
                <w:rFonts w:asciiTheme="minorHAnsi" w:hAnsiTheme="minorHAnsi" w:cstheme="minorHAnsi"/>
                <w:b/>
                <w:i/>
                <w:noProof/>
                <w:color w:val="1F497D" w:themeColor="text2"/>
                <w:sz w:val="24"/>
                <w:szCs w:val="24"/>
              </w:rPr>
              <w:t>Piacenza</w:t>
            </w:r>
            <w:r w:rsidR="0025394C">
              <w:rPr>
                <w:rFonts w:asciiTheme="minorHAnsi" w:hAnsiTheme="minorHAnsi" w:cstheme="minorHAnsi"/>
                <w:b/>
                <w:i/>
                <w:noProof/>
                <w:color w:val="1F497D" w:themeColor="text2"/>
                <w:sz w:val="24"/>
                <w:szCs w:val="24"/>
              </w:rPr>
              <w:t xml:space="preserve"> </w:t>
            </w:r>
          </w:p>
          <w:p w14:paraId="6D8181B8" w14:textId="6F4394D4" w:rsidR="000F5B8D" w:rsidRPr="00240861" w:rsidRDefault="00205C2E" w:rsidP="00E36646">
            <w:pPr>
              <w:tabs>
                <w:tab w:val="left" w:pos="1320"/>
              </w:tabs>
              <w:ind w:right="87"/>
              <w:jc w:val="center"/>
              <w:rPr>
                <w:rFonts w:asciiTheme="minorHAnsi" w:hAnsiTheme="minorHAnsi" w:cstheme="minorHAnsi"/>
                <w:b/>
                <w:i/>
                <w:noProof/>
                <w:color w:val="1F497D" w:themeColor="text2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Direzione</w:t>
            </w:r>
          </w:p>
        </w:tc>
        <w:tc>
          <w:tcPr>
            <w:tcW w:w="5850" w:type="dxa"/>
          </w:tcPr>
          <w:p w14:paraId="2EEDF050" w14:textId="619AEB2B" w:rsidR="00BC66E1" w:rsidRPr="00240861" w:rsidRDefault="00BC66E1" w:rsidP="00E36646">
            <w:pPr>
              <w:ind w:right="87"/>
              <w:jc w:val="right"/>
              <w:rPr>
                <w:rFonts w:asciiTheme="minorHAnsi" w:hAnsiTheme="minorHAnsi" w:cstheme="minorHAnsi"/>
                <w:sz w:val="24"/>
                <w:szCs w:val="24"/>
                <w:lang w:eastAsia="it-IT"/>
              </w:rPr>
            </w:pPr>
          </w:p>
        </w:tc>
      </w:tr>
    </w:tbl>
    <w:p w14:paraId="49E2FFBE" w14:textId="77777777" w:rsidR="001E1EF8" w:rsidRPr="00E36646" w:rsidRDefault="001E1EF8" w:rsidP="00E36646">
      <w:pPr>
        <w:pStyle w:val="Corpodeltesto3"/>
        <w:ind w:right="87"/>
        <w:rPr>
          <w:rFonts w:asciiTheme="minorHAnsi" w:hAnsiTheme="minorHAnsi" w:cstheme="minorHAnsi"/>
          <w:sz w:val="22"/>
          <w:szCs w:val="22"/>
        </w:rPr>
      </w:pPr>
    </w:p>
    <w:p w14:paraId="4551F38B" w14:textId="25DBD809" w:rsidR="00275685" w:rsidRDefault="00623AA7" w:rsidP="00EA523F">
      <w:pPr>
        <w:pStyle w:val="NormaleWeb"/>
        <w:jc w:val="center"/>
        <w:rPr>
          <w:rFonts w:eastAsia="Times New Roman"/>
          <w:b/>
          <w:bCs/>
          <w:lang w:eastAsia="it-IT"/>
        </w:rPr>
      </w:pPr>
      <w:r w:rsidRPr="00623AA7">
        <w:rPr>
          <w:rFonts w:eastAsia="Times New Roman"/>
          <w:lang w:eastAsia="it-IT"/>
        </w:rPr>
        <w:br/>
      </w:r>
      <w:r w:rsidR="00275685" w:rsidRPr="00275685">
        <w:rPr>
          <w:rFonts w:eastAsia="Times New Roman"/>
          <w:b/>
          <w:bCs/>
          <w:lang w:eastAsia="it-IT"/>
        </w:rPr>
        <w:t>COMUNICATO STAMPA</w:t>
      </w:r>
      <w:r w:rsidR="00275685" w:rsidRPr="00275685">
        <w:rPr>
          <w:rFonts w:eastAsia="Times New Roman"/>
          <w:lang w:eastAsia="it-IT"/>
        </w:rPr>
        <w:br/>
      </w:r>
      <w:r w:rsidR="00275685" w:rsidRPr="00275685">
        <w:rPr>
          <w:rFonts w:eastAsia="Times New Roman"/>
          <w:lang w:eastAsia="it-IT"/>
        </w:rPr>
        <w:br/>
      </w:r>
      <w:r w:rsidR="00275685" w:rsidRPr="00275685">
        <w:rPr>
          <w:rFonts w:eastAsia="Times New Roman"/>
          <w:b/>
          <w:bCs/>
          <w:lang w:eastAsia="it-IT"/>
        </w:rPr>
        <w:t>Bilancio delle attività di vigilanza</w:t>
      </w:r>
      <w:r w:rsidR="00EA523F">
        <w:rPr>
          <w:rFonts w:eastAsia="Times New Roman"/>
          <w:b/>
          <w:bCs/>
          <w:lang w:eastAsia="it-IT"/>
        </w:rPr>
        <w:t xml:space="preserve"> nell’anno 2024 </w:t>
      </w:r>
    </w:p>
    <w:p w14:paraId="5187A6F5" w14:textId="77777777" w:rsidR="00EA523F" w:rsidRDefault="00EA523F" w:rsidP="00EA523F">
      <w:pPr>
        <w:pStyle w:val="NormaleWeb"/>
        <w:jc w:val="center"/>
        <w:rPr>
          <w:rFonts w:eastAsia="Times New Roman"/>
          <w:b/>
          <w:bCs/>
          <w:lang w:eastAsia="it-IT"/>
        </w:rPr>
      </w:pPr>
    </w:p>
    <w:p w14:paraId="5C4FE29C" w14:textId="77777777" w:rsidR="00EA523F" w:rsidRDefault="00EA523F" w:rsidP="00EA523F">
      <w:pPr>
        <w:pStyle w:val="NormaleWeb"/>
        <w:jc w:val="center"/>
        <w:rPr>
          <w:rFonts w:eastAsia="Times New Roman"/>
          <w:b/>
          <w:bCs/>
          <w:lang w:eastAsia="it-IT"/>
        </w:rPr>
      </w:pPr>
    </w:p>
    <w:p w14:paraId="6EE1A46F" w14:textId="77777777" w:rsidR="00EA523F" w:rsidRDefault="00EA523F" w:rsidP="00EA523F">
      <w:pPr>
        <w:pStyle w:val="NormaleWeb"/>
        <w:jc w:val="center"/>
        <w:rPr>
          <w:rFonts w:eastAsia="Times New Roman"/>
          <w:b/>
          <w:bCs/>
          <w:lang w:eastAsia="it-IT"/>
        </w:rPr>
      </w:pPr>
    </w:p>
    <w:p w14:paraId="5AE139CA" w14:textId="77777777" w:rsidR="00EA523F" w:rsidRPr="00275685" w:rsidRDefault="00EA523F" w:rsidP="00EA523F">
      <w:pPr>
        <w:pStyle w:val="NormaleWeb"/>
        <w:jc w:val="center"/>
        <w:rPr>
          <w:rFonts w:eastAsia="Times New Roman"/>
          <w:lang w:eastAsia="it-IT"/>
        </w:rPr>
      </w:pPr>
    </w:p>
    <w:p w14:paraId="73F8F5EF" w14:textId="01F6FF47" w:rsidR="00275685" w:rsidRDefault="00275685" w:rsidP="00C822C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L’Ispettorato Territoriale del Lavoro </w:t>
      </w:r>
      <w:r w:rsidR="00AB0160">
        <w:rPr>
          <w:rFonts w:ascii="Times New Roman" w:eastAsia="Times New Roman" w:hAnsi="Times New Roman" w:cs="Times New Roman"/>
          <w:sz w:val="24"/>
          <w:szCs w:val="24"/>
          <w:lang w:eastAsia="it-IT"/>
        </w:rPr>
        <w:t>(I.T.L.</w:t>
      </w:r>
      <w:r w:rsidR="00EA52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>Piacenza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presenta il bilancio delle attività di vigilanza per l’anno 2024, mettendo in evidenza i risultati raggiunti e le differenze rispetto al 2023.</w:t>
      </w:r>
    </w:p>
    <w:p w14:paraId="0F50D19C" w14:textId="471AB59A" w:rsidR="00EA523F" w:rsidRDefault="00EA523F" w:rsidP="00C822C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L’organico dell’I.T.L. attualmente è pari a   </w:t>
      </w:r>
      <w:r w:rsidR="0015000F">
        <w:rPr>
          <w:rFonts w:ascii="Times New Roman" w:eastAsia="Times New Roman" w:hAnsi="Times New Roman" w:cs="Times New Roman"/>
          <w:sz w:val="24"/>
          <w:szCs w:val="24"/>
          <w:lang w:eastAsia="it-IT"/>
        </w:rPr>
        <w:t>31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complessivi di cui n°     </w:t>
      </w:r>
      <w:r w:rsidR="0015000F">
        <w:rPr>
          <w:rFonts w:ascii="Times New Roman" w:eastAsia="Times New Roman" w:hAnsi="Times New Roman" w:cs="Times New Roman"/>
          <w:sz w:val="24"/>
          <w:szCs w:val="24"/>
          <w:lang w:eastAsia="it-IT"/>
        </w:rPr>
        <w:t>13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funzionari di vigilanza effettivi, n° </w:t>
      </w:r>
      <w:r w:rsidR="0015000F">
        <w:rPr>
          <w:rFonts w:ascii="Times New Roman" w:eastAsia="Times New Roman" w:hAnsi="Times New Roman" w:cs="Times New Roman"/>
          <w:sz w:val="24"/>
          <w:szCs w:val="24"/>
          <w:lang w:eastAsia="it-IT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Carabinieri del Nucleo </w:t>
      </w:r>
      <w:r w:rsidR="00FF4172">
        <w:rPr>
          <w:rFonts w:ascii="Times New Roman" w:eastAsia="Times New Roman" w:hAnsi="Times New Roman" w:cs="Times New Roman"/>
          <w:sz w:val="24"/>
          <w:szCs w:val="24"/>
          <w:lang w:eastAsia="it-IT"/>
        </w:rPr>
        <w:t>Ispettorato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Lavoro.</w:t>
      </w:r>
    </w:p>
    <w:p w14:paraId="0CE4D69C" w14:textId="39A7863C" w:rsidR="00EA523F" w:rsidRDefault="00EA523F" w:rsidP="00C822C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L’organico del personale   impiegato in funzioni di vigilanza nel corso del 2024 è stato pari a </w:t>
      </w:r>
      <w:r w:rsidR="0015000F">
        <w:rPr>
          <w:rFonts w:ascii="Times New Roman" w:eastAsia="Times New Roman" w:hAnsi="Times New Roman" w:cs="Times New Roman"/>
          <w:sz w:val="24"/>
          <w:szCs w:val="24"/>
          <w:lang w:eastAsia="it-IT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r w:rsidR="00FF41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cui n. </w:t>
      </w:r>
      <w:r w:rsidR="00A84BED">
        <w:rPr>
          <w:rFonts w:ascii="Times New Roman" w:eastAsia="Times New Roman" w:hAnsi="Times New Roman" w:cs="Times New Roman"/>
          <w:sz w:val="24"/>
          <w:szCs w:val="24"/>
          <w:lang w:eastAsia="it-IT"/>
        </w:rPr>
        <w:t>4 militari</w:t>
      </w:r>
      <w:r w:rsidR="00FF417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Nucleo Ispettorato Lavoro dell’Arma dei Carabinieri,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rispetto al 2023 quando era pari a </w:t>
      </w:r>
      <w:r w:rsidR="0015000F">
        <w:rPr>
          <w:rFonts w:ascii="Times New Roman" w:eastAsia="Times New Roman" w:hAnsi="Times New Roman" w:cs="Times New Roman"/>
          <w:sz w:val="24"/>
          <w:szCs w:val="24"/>
          <w:lang w:eastAsia="it-IT"/>
        </w:rPr>
        <w:t>11</w:t>
      </w:r>
      <w:r w:rsidR="00CE4ED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F4172">
        <w:rPr>
          <w:rFonts w:ascii="Times New Roman" w:eastAsia="Times New Roman" w:hAnsi="Times New Roman" w:cs="Times New Roman"/>
          <w:sz w:val="24"/>
          <w:szCs w:val="24"/>
          <w:lang w:eastAsia="it-IT"/>
        </w:rPr>
        <w:t>di cui sempre n. 4 Militari del NIL</w:t>
      </w:r>
    </w:p>
    <w:p w14:paraId="2B205ABA" w14:textId="00D8A1A2" w:rsidR="00EA523F" w:rsidRDefault="00EA523F" w:rsidP="00C822C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totale delle imprese</w:t>
      </w:r>
      <w:r w:rsidR="00716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5000F">
        <w:rPr>
          <w:rFonts w:ascii="Times New Roman" w:eastAsia="Times New Roman" w:hAnsi="Times New Roman" w:cs="Times New Roman"/>
          <w:sz w:val="24"/>
          <w:szCs w:val="24"/>
          <w:lang w:eastAsia="it-IT"/>
        </w:rPr>
        <w:t>attive in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Provincia di Piacenza </w:t>
      </w:r>
      <w:r w:rsidR="00716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pari a 25</w:t>
      </w:r>
      <w:r w:rsidR="00062DC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557 </w:t>
      </w:r>
      <w:r w:rsidR="0071649E">
        <w:rPr>
          <w:rFonts w:ascii="Times New Roman" w:eastAsia="Times New Roman" w:hAnsi="Times New Roman" w:cs="Times New Roman"/>
          <w:sz w:val="24"/>
          <w:szCs w:val="24"/>
          <w:lang w:eastAsia="it-IT"/>
        </w:rPr>
        <w:t>nel 2024.</w:t>
      </w:r>
    </w:p>
    <w:p w14:paraId="1DE54759" w14:textId="6B29B678" w:rsidR="00EA523F" w:rsidRDefault="00EA523F" w:rsidP="00C822C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totale dei lavoratori </w:t>
      </w:r>
      <w:r w:rsidR="00A2767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attività in provincia di Piacenza </w:t>
      </w:r>
      <w:r w:rsidR="00E93FDF">
        <w:rPr>
          <w:rFonts w:ascii="Times New Roman" w:eastAsia="Times New Roman" w:hAnsi="Times New Roman" w:cs="Times New Roman"/>
          <w:sz w:val="24"/>
          <w:szCs w:val="24"/>
          <w:lang w:eastAsia="it-IT"/>
        </w:rPr>
        <w:t>era pari a 222.000 nel 2022</w:t>
      </w:r>
      <w:r w:rsidR="0071649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E93FD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53EC5022" w14:textId="04CFC968" w:rsidR="00EA523F" w:rsidRDefault="008725CF" w:rsidP="00EA523F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Popolazione attiva in provincia di Piacenza </w:t>
      </w:r>
      <w:r w:rsidR="0015000F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(raffronto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percentuale)  </w:t>
      </w:r>
    </w:p>
    <w:p w14:paraId="26CC5BB7" w14:textId="02EB4C65" w:rsidR="00EA523F" w:rsidRDefault="008725CF" w:rsidP="00EA523F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8725CF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it-IT"/>
        </w:rPr>
        <w:drawing>
          <wp:inline distT="0" distB="0" distL="0" distR="0" wp14:anchorId="17DE837A" wp14:editId="0FC1A32A">
            <wp:extent cx="5248275" cy="2219325"/>
            <wp:effectExtent l="0" t="0" r="9525" b="9525"/>
            <wp:docPr id="1364520712" name="Immagine 1" descr="Immagine che contiene testo, schermata, numer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4520712" name="Immagine 1" descr="Immagine che contiene testo, schermata, numero, Carattere&#10;&#10;Descrizione generata automaticament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9015" cy="2219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F453C" w14:textId="77777777" w:rsidR="008725CF" w:rsidRDefault="008725CF" w:rsidP="00EA523F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2F8080A0" w14:textId="77777777" w:rsidR="008725CF" w:rsidRDefault="008725CF" w:rsidP="00EA523F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1F8BF07F" w14:textId="7FEFD9B9" w:rsidR="00EA523F" w:rsidRDefault="00EA523F" w:rsidP="00EA523F">
      <w:pPr>
        <w:widowControl/>
        <w:autoSpaceDE/>
        <w:autoSpaceDN/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Attività di vigilanza in materia di salute e sicurezza sui luoghi di lavoro ed in ambito giuslavoristico</w:t>
      </w:r>
    </w:p>
    <w:p w14:paraId="0F7C1A36" w14:textId="77777777" w:rsidR="00EA523F" w:rsidRPr="0071649E" w:rsidRDefault="00EA523F" w:rsidP="00C822C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0FFB4E1" w14:textId="77B189D7" w:rsidR="00275685" w:rsidRPr="0071649E" w:rsidRDefault="00275685" w:rsidP="00C822C8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 2024, sono stati effettuati </w:t>
      </w:r>
      <w:r w:rsidR="00C822C8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744</w:t>
      </w:r>
      <w:r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 accessi ispettivi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un incremento significativo rispetto ai </w:t>
      </w:r>
      <w:r w:rsidR="00C822C8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544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 2023, evidenziando un maggiore impegno per garantire la legalità nei luoghi di lavoro. Tra questi, </w:t>
      </w:r>
      <w:r w:rsidR="00C822C8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491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hanno riguardato la vigilanza ordinaria (V.O.) e </w:t>
      </w:r>
      <w:r w:rsidR="00C822C8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</w:t>
      </w:r>
      <w:r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53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vigilanza tecnica (V.T.), rispetto ai rispettivi </w:t>
      </w:r>
      <w:r w:rsidR="00C822C8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404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</w:t>
      </w:r>
      <w:r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</w:t>
      </w:r>
      <w:r w:rsidR="00C822C8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40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dell’anno precedente.</w:t>
      </w:r>
    </w:p>
    <w:p w14:paraId="4845841D" w14:textId="77777777" w:rsidR="0071649E" w:rsidRDefault="0071649E" w:rsidP="00275685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bookmarkStart w:id="0" w:name="_Hlk188547368"/>
    </w:p>
    <w:p w14:paraId="5CCAFAAC" w14:textId="53859F85" w:rsidR="00275685" w:rsidRPr="00275685" w:rsidRDefault="00275685" w:rsidP="00275685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27568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Principali risultati conseguiti:</w:t>
      </w:r>
    </w:p>
    <w:p w14:paraId="53216D6C" w14:textId="77777777" w:rsidR="008725CF" w:rsidRPr="008725CF" w:rsidRDefault="008725CF" w:rsidP="008725CF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FF77A4" w14:textId="3D4E08FC" w:rsidR="00275685" w:rsidRDefault="00275685" w:rsidP="008B37E0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56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Pratiche ispettive definite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>475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2024 </w:t>
      </w:r>
      <w:r w:rsidR="00E903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</w:t>
      </w:r>
      <w:r w:rsidR="00E9038C" w:rsidRPr="00E9038C">
        <w:rPr>
          <w:rFonts w:ascii="Times New Roman" w:eastAsia="Times New Roman" w:hAnsi="Times New Roman" w:cs="Times New Roman"/>
          <w:sz w:val="24"/>
          <w:szCs w:val="24"/>
          <w:lang w:eastAsia="it-IT"/>
        </w:rPr>
        <w:t>+</w:t>
      </w:r>
      <w:r w:rsid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>21,17</w:t>
      </w:r>
      <w:r w:rsidR="00E9038C" w:rsidRPr="00E903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%  rispetto alle 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>392</w:t>
      </w:r>
      <w:r w:rsidR="00E9038C" w:rsidRPr="00E903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2023 </w:t>
      </w:r>
    </w:p>
    <w:p w14:paraId="709DC2A4" w14:textId="6235008B" w:rsidR="00275685" w:rsidRPr="00275685" w:rsidRDefault="00275685" w:rsidP="0071649E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ind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56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Pratiche irregolari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>285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>60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% del </w:t>
      </w:r>
      <w:r w:rsidR="00062DCA"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>totale)</w:t>
      </w:r>
      <w:r w:rsidR="00062DC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E903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-</w:t>
      </w:r>
      <w:r w:rsidR="00E903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2,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>50</w:t>
      </w:r>
      <w:r w:rsidR="00E903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% 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>rispetto al</w:t>
      </w:r>
      <w:r w:rsid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>62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>50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>% del 2023</w:t>
      </w:r>
      <w:r w:rsid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500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r w:rsidR="006373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15000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</w:t>
      </w:r>
      <w:r w:rsidR="006373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15000F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6373A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n. pratiche 245</w:t>
      </w:r>
    </w:p>
    <w:p w14:paraId="09287590" w14:textId="77777777" w:rsidR="0071649E" w:rsidRPr="0071649E" w:rsidRDefault="0071649E" w:rsidP="0071649E">
      <w:pPr>
        <w:widowControl/>
        <w:autoSpaceDE/>
        <w:autoSpaceDN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F40F55A" w14:textId="2DEA1B5C" w:rsidR="00275685" w:rsidRPr="00275685" w:rsidRDefault="00275685" w:rsidP="0071649E">
      <w:pPr>
        <w:widowControl/>
        <w:numPr>
          <w:ilvl w:val="1"/>
          <w:numId w:val="5"/>
        </w:numPr>
        <w:autoSpaceDE/>
        <w:autoSpaceDN/>
        <w:spacing w:before="100" w:beforeAutospacing="1" w:after="100" w:afterAutospacing="1"/>
        <w:ind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56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Lavoratori irregolari individuati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="00C822C8">
        <w:rPr>
          <w:rFonts w:ascii="Times New Roman" w:eastAsia="Times New Roman" w:hAnsi="Times New Roman" w:cs="Times New Roman"/>
          <w:sz w:val="24"/>
          <w:szCs w:val="24"/>
          <w:lang w:eastAsia="it-IT"/>
        </w:rPr>
        <w:t>587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cui:</w:t>
      </w:r>
    </w:p>
    <w:p w14:paraId="2A116D91" w14:textId="448E1C63" w:rsidR="00275685" w:rsidRPr="00037440" w:rsidRDefault="00C822C8" w:rsidP="0071649E">
      <w:pPr>
        <w:widowControl/>
        <w:numPr>
          <w:ilvl w:val="2"/>
          <w:numId w:val="5"/>
        </w:numPr>
        <w:autoSpaceDE/>
        <w:autoSpaceDN/>
        <w:spacing w:before="100" w:beforeAutospacing="1" w:after="100" w:afterAutospacing="1"/>
        <w:ind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67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nero </w:t>
      </w:r>
      <w:r w:rsidR="00E9038C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(</w:t>
      </w:r>
      <w:r w:rsidR="00696B70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-9,34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% rispetto a</w:t>
      </w:r>
      <w:r w:rsid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gli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696B70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82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2023);</w:t>
      </w:r>
    </w:p>
    <w:p w14:paraId="79A50E7E" w14:textId="4924A86E" w:rsidR="00275685" w:rsidRPr="00037440" w:rsidRDefault="00696B70" w:rsidP="0071649E">
      <w:pPr>
        <w:widowControl/>
        <w:numPr>
          <w:ilvl w:val="2"/>
          <w:numId w:val="5"/>
        </w:numPr>
        <w:autoSpaceDE/>
        <w:autoSpaceDN/>
        <w:spacing w:before="100" w:beforeAutospacing="1" w:after="100" w:afterAutospacing="1"/>
        <w:ind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56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somministrazione irregolare</w:t>
      </w:r>
      <w:r w:rsidR="00E9038C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E9038C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</w:t>
      </w:r>
      <w:r w:rsidR="00716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(+</w:t>
      </w:r>
      <w:r w:rsid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>21,17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%</w:t>
      </w:r>
      <w:r w:rsidR="00E9038C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rispetto al</w:t>
      </w:r>
      <w:r w:rsid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</w:t>
      </w:r>
      <w:r w:rsid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>46 del</w:t>
      </w:r>
      <w:r w:rsidR="00E9038C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2023</w:t>
      </w:r>
      <w:r w:rsidR="0071649E">
        <w:rPr>
          <w:rFonts w:ascii="Times New Roman" w:eastAsia="Times New Roman" w:hAnsi="Times New Roman" w:cs="Times New Roman"/>
          <w:sz w:val="24"/>
          <w:szCs w:val="24"/>
          <w:lang w:eastAsia="it-IT"/>
        </w:rPr>
        <w:t>);</w:t>
      </w:r>
      <w:r w:rsidR="00E9038C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3D6A6BEE" w14:textId="77777777" w:rsidR="0071649E" w:rsidRDefault="0071649E" w:rsidP="0071649E">
      <w:pPr>
        <w:widowControl/>
        <w:autoSpaceDE/>
        <w:autoSpaceDN/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AF7365B" w14:textId="046F505B" w:rsidR="0071649E" w:rsidRDefault="001339A3" w:rsidP="0071649E">
      <w:pPr>
        <w:widowControl/>
        <w:numPr>
          <w:ilvl w:val="2"/>
          <w:numId w:val="5"/>
        </w:numPr>
        <w:autoSpaceDE/>
        <w:autoSpaceDN/>
        <w:spacing w:before="100" w:beforeAutospacing="1" w:after="100" w:afterAutospacing="1"/>
        <w:ind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>230</w:t>
      </w:r>
      <w:r w:rsidR="00275685" w:rsidRPr="0003744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riqualificazioni</w:t>
      </w:r>
      <w:r w:rsidR="00275685"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16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</w:t>
      </w:r>
      <w:r w:rsidR="0071649E"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>(+</w:t>
      </w:r>
      <w:r w:rsidR="0071649E">
        <w:rPr>
          <w:rFonts w:ascii="Times New Roman" w:eastAsia="Times New Roman" w:hAnsi="Times New Roman" w:cs="Times New Roman"/>
          <w:sz w:val="24"/>
          <w:szCs w:val="24"/>
          <w:lang w:eastAsia="it-IT"/>
        </w:rPr>
        <w:t>230</w:t>
      </w:r>
      <w:r w:rsidR="0071649E"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>%</w:t>
      </w:r>
      <w:r w:rsidR="0071649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rispetto al 2023 </w:t>
      </w:r>
      <w:r w:rsidR="0071649E"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14:paraId="4C29E82A" w14:textId="094FAFE0" w:rsidR="00275685" w:rsidRPr="00275685" w:rsidRDefault="0071649E" w:rsidP="0071649E">
      <w:pPr>
        <w:widowControl/>
        <w:autoSpaceDE/>
        <w:autoSpaceDN/>
        <w:spacing w:before="100" w:beforeAutospacing="1" w:after="100" w:afterAutospacing="1"/>
        <w:ind w:left="216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 lavoratore autonomo a subordinato </w:t>
      </w:r>
      <w:r w:rsidR="00E903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</w:t>
      </w:r>
    </w:p>
    <w:p w14:paraId="777C43FB" w14:textId="77777777" w:rsidR="008725CF" w:rsidRPr="008725CF" w:rsidRDefault="008725CF" w:rsidP="0071649E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532C0647" w14:textId="22AA39E8" w:rsidR="00F84AE2" w:rsidRDefault="00275685" w:rsidP="0071649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56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Violazioni prevenzionistiche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14:paraId="249668C3" w14:textId="6CCABA01" w:rsidR="0021473F" w:rsidRPr="001D0B1D" w:rsidRDefault="001339A3" w:rsidP="001D0B1D">
      <w:pPr>
        <w:pStyle w:val="Paragrafoelenco"/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>289</w:t>
      </w:r>
      <w:r w:rsidR="00275685"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accertate nel </w:t>
      </w:r>
      <w:r w:rsidR="0030599F"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2024,  </w:t>
      </w:r>
      <w:r w:rsidR="00F84AE2"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</w:t>
      </w:r>
      <w:r w:rsid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</w:t>
      </w:r>
      <w:r w:rsidR="00F84AE2"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</w:t>
      </w:r>
      <w:r w:rsidR="0071649E"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>164</w:t>
      </w:r>
      <w:r w:rsidR="00275685"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F84AE2"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nel </w:t>
      </w:r>
      <w:r w:rsidR="00275685" w:rsidRPr="001D0B1D">
        <w:rPr>
          <w:rFonts w:ascii="Times New Roman" w:eastAsia="Times New Roman" w:hAnsi="Times New Roman" w:cs="Times New Roman"/>
          <w:sz w:val="24"/>
          <w:szCs w:val="24"/>
          <w:lang w:eastAsia="it-IT"/>
        </w:rPr>
        <w:t>2023.</w:t>
      </w:r>
    </w:p>
    <w:bookmarkEnd w:id="0"/>
    <w:p w14:paraId="62BA9EBD" w14:textId="77777777" w:rsidR="0021473F" w:rsidRPr="0021473F" w:rsidRDefault="0021473F" w:rsidP="0021473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73F">
        <w:rPr>
          <w:rFonts w:ascii="Times New Roman" w:hAnsi="Times New Roman" w:cs="Times New Roman"/>
          <w:sz w:val="24"/>
          <w:szCs w:val="24"/>
        </w:rPr>
        <w:t>Documento valutazione dei rischi;</w:t>
      </w:r>
    </w:p>
    <w:p w14:paraId="2C6893D9" w14:textId="77777777" w:rsidR="0021473F" w:rsidRPr="0021473F" w:rsidRDefault="0021473F" w:rsidP="0021473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73F">
        <w:rPr>
          <w:rFonts w:ascii="Times New Roman" w:hAnsi="Times New Roman" w:cs="Times New Roman"/>
          <w:sz w:val="24"/>
          <w:szCs w:val="24"/>
        </w:rPr>
        <w:t>Designazione medico competente;</w:t>
      </w:r>
    </w:p>
    <w:p w14:paraId="42FCC7D8" w14:textId="77777777" w:rsidR="0021473F" w:rsidRPr="0021473F" w:rsidRDefault="0021473F" w:rsidP="0021473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73F">
        <w:rPr>
          <w:rFonts w:ascii="Times New Roman" w:hAnsi="Times New Roman" w:cs="Times New Roman"/>
          <w:sz w:val="24"/>
          <w:szCs w:val="24"/>
        </w:rPr>
        <w:t>Attrezzature – idoneità ai fini della sicurezza;</w:t>
      </w:r>
    </w:p>
    <w:p w14:paraId="768B8567" w14:textId="77777777" w:rsidR="0021473F" w:rsidRPr="0021473F" w:rsidRDefault="0021473F" w:rsidP="0021473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73F">
        <w:rPr>
          <w:rFonts w:ascii="Times New Roman" w:hAnsi="Times New Roman" w:cs="Times New Roman"/>
          <w:sz w:val="24"/>
          <w:szCs w:val="24"/>
        </w:rPr>
        <w:t>Impianti e apparecchiature elettriche – procedure uso e manutenzione;</w:t>
      </w:r>
    </w:p>
    <w:p w14:paraId="6189BBC0" w14:textId="77777777" w:rsidR="0021473F" w:rsidRPr="0021473F" w:rsidRDefault="0021473F" w:rsidP="0021473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73F">
        <w:rPr>
          <w:rFonts w:ascii="Times New Roman" w:hAnsi="Times New Roman" w:cs="Times New Roman"/>
          <w:sz w:val="24"/>
          <w:szCs w:val="24"/>
        </w:rPr>
        <w:t>Sorveglianza sanitaria;</w:t>
      </w:r>
    </w:p>
    <w:p w14:paraId="7BF48DFC" w14:textId="77777777" w:rsidR="0021473F" w:rsidRPr="0021473F" w:rsidRDefault="0021473F" w:rsidP="0021473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73F">
        <w:rPr>
          <w:rFonts w:ascii="Times New Roman" w:hAnsi="Times New Roman" w:cs="Times New Roman"/>
          <w:sz w:val="24"/>
          <w:szCs w:val="24"/>
        </w:rPr>
        <w:t>Formazione dei lavoratori;</w:t>
      </w:r>
    </w:p>
    <w:p w14:paraId="6FF8098F" w14:textId="77777777" w:rsidR="0021473F" w:rsidRPr="0021473F" w:rsidRDefault="0021473F" w:rsidP="0021473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1473F">
        <w:rPr>
          <w:rFonts w:ascii="Times New Roman" w:hAnsi="Times New Roman" w:cs="Times New Roman"/>
          <w:sz w:val="24"/>
          <w:szCs w:val="24"/>
        </w:rPr>
        <w:t>Cadute dall’alto;</w:t>
      </w:r>
    </w:p>
    <w:p w14:paraId="1993AD76" w14:textId="77777777" w:rsidR="0021473F" w:rsidRPr="0021473F" w:rsidRDefault="0021473F" w:rsidP="0021473F">
      <w:pPr>
        <w:pStyle w:val="Paragrafoelenco"/>
        <w:widowControl/>
        <w:numPr>
          <w:ilvl w:val="0"/>
          <w:numId w:val="5"/>
        </w:numPr>
        <w:autoSpaceDE/>
        <w:autoSpaceDN/>
        <w:spacing w:after="160" w:line="259" w:lineRule="auto"/>
        <w:contextualSpacing/>
        <w:rPr>
          <w:sz w:val="24"/>
          <w:szCs w:val="24"/>
        </w:rPr>
      </w:pPr>
      <w:r w:rsidRPr="0021473F">
        <w:rPr>
          <w:rFonts w:ascii="Times New Roman" w:hAnsi="Times New Roman" w:cs="Times New Roman"/>
          <w:sz w:val="24"/>
          <w:szCs w:val="24"/>
        </w:rPr>
        <w:t>Impalcature e opere provvisionali</w:t>
      </w:r>
      <w:r w:rsidRPr="0021473F">
        <w:rPr>
          <w:sz w:val="24"/>
          <w:szCs w:val="24"/>
        </w:rPr>
        <w:t>.</w:t>
      </w:r>
    </w:p>
    <w:p w14:paraId="641C39EF" w14:textId="1330217B" w:rsidR="0071649E" w:rsidRPr="0071649E" w:rsidRDefault="0071649E" w:rsidP="0071649E">
      <w:pPr>
        <w:widowControl/>
        <w:autoSpaceDE/>
        <w:autoSpaceDN/>
        <w:spacing w:before="100" w:beforeAutospacing="1" w:after="100" w:afterAutospacing="1"/>
        <w:ind w:left="363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B391A2F" w14:textId="4F4D50A9" w:rsidR="00F84AE2" w:rsidRDefault="00275685" w:rsidP="0071649E">
      <w:pPr>
        <w:widowControl/>
        <w:numPr>
          <w:ilvl w:val="0"/>
          <w:numId w:val="5"/>
        </w:numPr>
        <w:autoSpaceDE/>
        <w:autoSpaceDN/>
        <w:spacing w:before="100" w:beforeAutospacing="1" w:after="100" w:afterAutospacing="1"/>
        <w:ind w:hanging="357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75685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Provvedimenti di sospensione dell’attività</w:t>
      </w:r>
      <w:r w:rsidRPr="0027568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</w:p>
    <w:p w14:paraId="325378C8" w14:textId="578BF4DA" w:rsidR="00DD4674" w:rsidRDefault="001339A3" w:rsidP="0071649E">
      <w:pPr>
        <w:widowControl/>
        <w:numPr>
          <w:ilvl w:val="2"/>
          <w:numId w:val="5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95A92">
        <w:rPr>
          <w:rFonts w:ascii="Times New Roman" w:eastAsia="Times New Roman" w:hAnsi="Times New Roman" w:cs="Times New Roman"/>
          <w:sz w:val="24"/>
          <w:szCs w:val="24"/>
          <w:lang w:eastAsia="it-IT"/>
        </w:rPr>
        <w:t>53</w:t>
      </w:r>
      <w:r w:rsidR="00275685" w:rsidRPr="00295A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2024</w:t>
      </w:r>
      <w:r w:rsid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cui</w:t>
      </w:r>
      <w:r w:rsid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        </w:t>
      </w:r>
      <w:r w:rsidR="00E13B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>42 nel 2023 di cui</w:t>
      </w:r>
    </w:p>
    <w:p w14:paraId="6C4F4996" w14:textId="4877DB06" w:rsidR="00DD4674" w:rsidRDefault="00DD4674" w:rsidP="009E4071">
      <w:pPr>
        <w:widowControl/>
        <w:numPr>
          <w:ilvl w:val="2"/>
          <w:numId w:val="5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18 </w:t>
      </w:r>
      <w:r w:rsidR="00F84AE2" w:rsidRPr="00295A9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lavoro nero </w:t>
      </w:r>
      <w:r w:rsidR="00275685" w:rsidRPr="00295A92">
        <w:rPr>
          <w:rFonts w:ascii="Times New Roman" w:eastAsia="Times New Roman" w:hAnsi="Times New Roman" w:cs="Times New Roman"/>
          <w:sz w:val="24"/>
          <w:szCs w:val="24"/>
          <w:lang w:eastAsia="it-IT"/>
        </w:rPr>
        <w:t>lavoro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</w:t>
      </w:r>
      <w:r w:rsidR="00E13BA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27 per lavoro nero  </w:t>
      </w:r>
    </w:p>
    <w:p w14:paraId="20588B3C" w14:textId="51B8302E" w:rsidR="00275685" w:rsidRDefault="00DD4674" w:rsidP="009E69A5">
      <w:pPr>
        <w:widowControl/>
        <w:numPr>
          <w:ilvl w:val="2"/>
          <w:numId w:val="5"/>
        </w:numPr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35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 motivi di sicurezza</w:t>
      </w:r>
      <w:r w:rsidR="00275685" w:rsidRPr="00DD467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15 motivi di sicurezza</w:t>
      </w:r>
    </w:p>
    <w:p w14:paraId="4115E1D0" w14:textId="77777777" w:rsidR="00E13BA4" w:rsidRDefault="00E13BA4" w:rsidP="00E13BA4">
      <w:pPr>
        <w:widowControl/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943100F" w14:textId="775569BC" w:rsidR="00EA523F" w:rsidRDefault="00EA523F" w:rsidP="00E13BA4">
      <w:pPr>
        <w:widowControl/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22C6458D" wp14:editId="2D7AEE8F">
            <wp:extent cx="6149975" cy="4457700"/>
            <wp:effectExtent l="0" t="0" r="3175" b="0"/>
            <wp:docPr id="5" name="Immagine 4" descr="Immagine out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magine outpu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7849" cy="4463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5C35C" w14:textId="446DCF8B" w:rsidR="00EA523F" w:rsidRDefault="0061654F" w:rsidP="00E13BA4">
      <w:pPr>
        <w:widowControl/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Richieste d’intervento (denunce presentate) n. 184</w:t>
      </w:r>
    </w:p>
    <w:p w14:paraId="22BB0CBC" w14:textId="6C5AB929" w:rsidR="00974E3A" w:rsidRPr="00974E3A" w:rsidRDefault="00974E3A" w:rsidP="00974E3A">
      <w:pPr>
        <w:pStyle w:val="Paragrafoelenco"/>
        <w:widowControl/>
        <w:numPr>
          <w:ilvl w:val="0"/>
          <w:numId w:val="9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E3A">
        <w:rPr>
          <w:rFonts w:ascii="Times New Roman" w:hAnsi="Times New Roman" w:cs="Times New Roman"/>
          <w:sz w:val="24"/>
          <w:szCs w:val="24"/>
        </w:rPr>
        <w:t>Persone deferite all’A.G.                                                                                                n. 202</w:t>
      </w:r>
    </w:p>
    <w:p w14:paraId="7CE4413D" w14:textId="6BC697F1" w:rsidR="00974E3A" w:rsidRPr="00974E3A" w:rsidRDefault="00974E3A" w:rsidP="00974E3A">
      <w:pPr>
        <w:pStyle w:val="Paragrafoelenco"/>
        <w:rPr>
          <w:rFonts w:ascii="Times New Roman" w:hAnsi="Times New Roman" w:cs="Times New Roman"/>
          <w:sz w:val="24"/>
          <w:szCs w:val="24"/>
        </w:rPr>
      </w:pPr>
      <w:r w:rsidRPr="00974E3A">
        <w:rPr>
          <w:rFonts w:ascii="Times New Roman" w:hAnsi="Times New Roman" w:cs="Times New Roman"/>
          <w:sz w:val="24"/>
          <w:szCs w:val="24"/>
        </w:rPr>
        <w:t xml:space="preserve">              Di cui:</w:t>
      </w:r>
    </w:p>
    <w:p w14:paraId="5BA7C329" w14:textId="2C24E9ED" w:rsidR="00974E3A" w:rsidRPr="00974E3A" w:rsidRDefault="00974E3A" w:rsidP="00974E3A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E3A">
        <w:rPr>
          <w:rFonts w:ascii="Times New Roman" w:hAnsi="Times New Roman" w:cs="Times New Roman"/>
          <w:sz w:val="24"/>
          <w:szCs w:val="24"/>
        </w:rPr>
        <w:t>Denunciati per violazioni prevenzionistiche                                                              n. 183</w:t>
      </w:r>
    </w:p>
    <w:p w14:paraId="4DF6DB6D" w14:textId="18EA501D" w:rsidR="00974E3A" w:rsidRPr="00974E3A" w:rsidRDefault="00974E3A" w:rsidP="00974E3A">
      <w:pPr>
        <w:pStyle w:val="Paragrafoelenco"/>
        <w:widowControl/>
        <w:numPr>
          <w:ilvl w:val="0"/>
          <w:numId w:val="10"/>
        </w:numPr>
        <w:autoSpaceDE/>
        <w:autoSpaceDN/>
        <w:spacing w:after="16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74E3A">
        <w:rPr>
          <w:rFonts w:ascii="Times New Roman" w:hAnsi="Times New Roman" w:cs="Times New Roman"/>
          <w:sz w:val="24"/>
          <w:szCs w:val="24"/>
        </w:rPr>
        <w:t>Denunciati altri motivi                                                                                                n.   19</w:t>
      </w:r>
    </w:p>
    <w:p w14:paraId="2DBC669F" w14:textId="576E4AFD" w:rsidR="00974E3A" w:rsidRPr="00974E3A" w:rsidRDefault="00974E3A" w:rsidP="00E13BA4">
      <w:pPr>
        <w:widowControl/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4E3A">
        <w:rPr>
          <w:rFonts w:ascii="Times New Roman" w:eastAsia="Times New Roman" w:hAnsi="Times New Roman" w:cs="Times New Roman"/>
          <w:sz w:val="24"/>
          <w:szCs w:val="24"/>
          <w:lang w:eastAsia="it-IT"/>
        </w:rPr>
        <w:t>P</w:t>
      </w:r>
      <w:r w:rsidR="0071649E" w:rsidRPr="00974E3A">
        <w:rPr>
          <w:rFonts w:ascii="Times New Roman" w:eastAsia="Times New Roman" w:hAnsi="Times New Roman" w:cs="Times New Roman"/>
          <w:sz w:val="24"/>
          <w:szCs w:val="24"/>
          <w:lang w:eastAsia="it-IT"/>
        </w:rPr>
        <w:t>ersone denunciate ai sensi del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l’art.</w:t>
      </w:r>
      <w:r w:rsidR="0071649E" w:rsidRPr="00974E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603 bis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c.p. </w:t>
      </w:r>
      <w:r w:rsidR="00DF78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</w:t>
      </w:r>
      <w:r w:rsidRPr="00974E3A">
        <w:rPr>
          <w:rFonts w:ascii="Times New Roman" w:eastAsia="Times New Roman" w:hAnsi="Times New Roman" w:cs="Times New Roman"/>
          <w:sz w:val="24"/>
          <w:szCs w:val="24"/>
          <w:lang w:eastAsia="it-IT"/>
        </w:rPr>
        <w:t>n. 13</w:t>
      </w:r>
    </w:p>
    <w:p w14:paraId="1E27770C" w14:textId="607045D5" w:rsidR="0071649E" w:rsidRPr="00974E3A" w:rsidRDefault="00974E3A" w:rsidP="00E13BA4">
      <w:pPr>
        <w:widowControl/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74E3A">
        <w:rPr>
          <w:rFonts w:ascii="Times New Roman" w:eastAsia="Times New Roman" w:hAnsi="Times New Roman" w:cs="Times New Roman"/>
          <w:sz w:val="24"/>
          <w:szCs w:val="24"/>
          <w:lang w:eastAsia="it-IT"/>
        </w:rPr>
        <w:t>N</w:t>
      </w:r>
      <w:r w:rsidR="0071649E" w:rsidRPr="00974E3A">
        <w:rPr>
          <w:rFonts w:ascii="Times New Roman" w:eastAsia="Times New Roman" w:hAnsi="Times New Roman" w:cs="Times New Roman"/>
          <w:sz w:val="24"/>
          <w:szCs w:val="24"/>
          <w:lang w:eastAsia="it-IT"/>
        </w:rPr>
        <w:t>umero lavoratori interessati a fenomeni di sfruttamento</w:t>
      </w:r>
      <w:r w:rsidR="004A28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(nero e </w:t>
      </w:r>
      <w:r w:rsidR="00A84BED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somministrati)  </w:t>
      </w:r>
      <w:r w:rsidR="00DF78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</w:t>
      </w:r>
      <w:r w:rsidRPr="00974E3A">
        <w:rPr>
          <w:rFonts w:ascii="Times New Roman" w:eastAsia="Times New Roman" w:hAnsi="Times New Roman" w:cs="Times New Roman"/>
          <w:sz w:val="24"/>
          <w:szCs w:val="24"/>
          <w:lang w:eastAsia="it-IT"/>
        </w:rPr>
        <w:t>n.</w:t>
      </w:r>
      <w:r w:rsidR="00DF78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D3454">
        <w:rPr>
          <w:rFonts w:ascii="Times New Roman" w:eastAsia="Times New Roman" w:hAnsi="Times New Roman" w:cs="Times New Roman"/>
          <w:sz w:val="24"/>
          <w:szCs w:val="24"/>
          <w:lang w:eastAsia="it-IT"/>
        </w:rPr>
        <w:t>1</w:t>
      </w:r>
      <w:r w:rsidR="000A62FD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="004D3454">
        <w:rPr>
          <w:rFonts w:ascii="Times New Roman" w:eastAsia="Times New Roman" w:hAnsi="Times New Roman" w:cs="Times New Roman"/>
          <w:sz w:val="24"/>
          <w:szCs w:val="24"/>
          <w:lang w:eastAsia="it-IT"/>
        </w:rPr>
        <w:t>3</w:t>
      </w:r>
      <w:r w:rsidRPr="00974E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71649E" w:rsidRPr="00974E3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73A7529" w14:textId="77777777" w:rsidR="008725CF" w:rsidRDefault="008725CF" w:rsidP="00E13BA4">
      <w:pPr>
        <w:widowControl/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1B6F03A" w14:textId="77777777" w:rsidR="008725CF" w:rsidRDefault="008725CF" w:rsidP="00E13BA4">
      <w:pPr>
        <w:widowControl/>
        <w:autoSpaceDE/>
        <w:autoSpaceDN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F80DD24" w14:textId="4C7DFF99" w:rsidR="00DA1A72" w:rsidRPr="00E93FDF" w:rsidRDefault="003D5EF4" w:rsidP="001339A3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lastRenderedPageBreak/>
        <w:t>L’attività di vigilanza in materia giuslavoristica</w:t>
      </w:r>
      <w:r w:rsidR="00DA1A72"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vale a dire finalizzata a rilevare situazioni di lavoro nero</w:t>
      </w:r>
      <w:r w:rsidR="00E13BA4"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DA1A72"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irregolare o di sfruttamento della manodopera</w:t>
      </w:r>
      <w:r w:rsidR="00E13BA4"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>,</w:t>
      </w:r>
      <w:r w:rsidR="00DA1A72"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ha interessato principalmente </w:t>
      </w:r>
      <w:r w:rsidR="001339A3"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>i seguenti</w:t>
      </w:r>
      <w:r w:rsidR="00DA1A72"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settori merceologici</w:t>
      </w:r>
      <w:r w:rsidR="001339A3"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in percentuale rispetto al totale delle aziende ispezionate:</w:t>
      </w:r>
    </w:p>
    <w:p w14:paraId="03440F02" w14:textId="0F0F679F" w:rsidR="001339A3" w:rsidRPr="00E93FDF" w:rsidRDefault="001339A3" w:rsidP="001339A3">
      <w:pPr>
        <w:pStyle w:val="Paragrafoelenco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>Agricoltura 8,45%;</w:t>
      </w:r>
    </w:p>
    <w:p w14:paraId="31DE9D22" w14:textId="66E2EA91" w:rsidR="001339A3" w:rsidRPr="00E93FDF" w:rsidRDefault="001339A3" w:rsidP="001339A3">
      <w:pPr>
        <w:pStyle w:val="Paragrafoelenco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>Attività manifatturiera 7,87%;</w:t>
      </w:r>
    </w:p>
    <w:p w14:paraId="2AB6923E" w14:textId="7D9ED175" w:rsidR="001339A3" w:rsidRPr="00E93FDF" w:rsidRDefault="001339A3" w:rsidP="001339A3">
      <w:pPr>
        <w:pStyle w:val="Paragrafoelenco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>Edilizia 20,43%;</w:t>
      </w:r>
    </w:p>
    <w:p w14:paraId="71DE8E57" w14:textId="7438EB67" w:rsidR="001339A3" w:rsidRPr="00E93FDF" w:rsidRDefault="001339A3" w:rsidP="001339A3">
      <w:pPr>
        <w:pStyle w:val="Paragrafoelenco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>Commercio all’ingrosso e al dettaglio 29,15%;</w:t>
      </w:r>
    </w:p>
    <w:p w14:paraId="45765A4A" w14:textId="73EC6911" w:rsidR="001339A3" w:rsidRPr="00E93FDF" w:rsidRDefault="001339A3" w:rsidP="001339A3">
      <w:pPr>
        <w:pStyle w:val="Paragrafoelenco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>Trasporto e logistica 16,62%;</w:t>
      </w:r>
    </w:p>
    <w:p w14:paraId="1FE3F3A5" w14:textId="658EF086" w:rsidR="001339A3" w:rsidRPr="00E93FDF" w:rsidRDefault="00897663" w:rsidP="001339A3">
      <w:pPr>
        <w:pStyle w:val="Paragrafoelenco"/>
        <w:widowControl/>
        <w:numPr>
          <w:ilvl w:val="0"/>
          <w:numId w:val="7"/>
        </w:numPr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E93FDF">
        <w:rPr>
          <w:rFonts w:ascii="Times New Roman" w:eastAsia="Times New Roman" w:hAnsi="Times New Roman" w:cs="Times New Roman"/>
          <w:sz w:val="28"/>
          <w:szCs w:val="28"/>
          <w:lang w:eastAsia="it-IT"/>
        </w:rPr>
        <w:t>Attività di servizi di alloggio e ristorazione 16,91%</w:t>
      </w:r>
    </w:p>
    <w:p w14:paraId="19FF1339" w14:textId="663555D2" w:rsidR="00295A92" w:rsidRDefault="00D14836" w:rsidP="00295A92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272A456A" wp14:editId="6BB3FC57">
            <wp:extent cx="6067425" cy="3924300"/>
            <wp:effectExtent l="0" t="0" r="9525" b="0"/>
            <wp:docPr id="2041787578" name="Grafico 1">
              <a:extLst xmlns:a="http://schemas.openxmlformats.org/drawingml/2006/main">
                <a:ext uri="{FF2B5EF4-FFF2-40B4-BE49-F238E27FC236}">
                  <a16:creationId xmlns:a16="http://schemas.microsoft.com/office/drawing/2014/main" id="{B0C7BA45-EBC1-1DE3-365E-13611DDF1C8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E66B29D" w14:textId="77777777" w:rsidR="00E93FDF" w:rsidRDefault="00E93FDF" w:rsidP="00292959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4AC1F7B3" w14:textId="2DEA5CB7" w:rsidR="00292959" w:rsidRPr="00275685" w:rsidRDefault="00292959" w:rsidP="00292959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27568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Impatt</w:t>
      </w:r>
      <w:r w:rsidR="0003744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</w:t>
      </w:r>
      <w:r w:rsidRPr="0027568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economic</w:t>
      </w:r>
      <w:r w:rsidR="00037440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o</w:t>
      </w:r>
      <w:r w:rsidRPr="00275685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:</w:t>
      </w:r>
    </w:p>
    <w:p w14:paraId="0E486DB7" w14:textId="5DD7084D" w:rsidR="00292959" w:rsidRPr="0071649E" w:rsidRDefault="00292959" w:rsidP="00292959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Recupero di </w:t>
      </w:r>
      <w:r w:rsidR="00897663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imponibili non dichiarati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</w:t>
      </w:r>
      <w:r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€ </w:t>
      </w:r>
      <w:r w:rsidR="00897663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2.180.000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(+</w:t>
      </w:r>
      <w:r w:rsidR="00897663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174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% rispetto a € 1.</w:t>
      </w:r>
      <w:r w:rsidR="00897663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252.400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nel 2023).</w:t>
      </w:r>
    </w:p>
    <w:p w14:paraId="044FFAC8" w14:textId="3C3C86B7" w:rsidR="00037440" w:rsidRPr="0071649E" w:rsidRDefault="00292959" w:rsidP="00037440">
      <w:pPr>
        <w:widowControl/>
        <w:numPr>
          <w:ilvl w:val="0"/>
          <w:numId w:val="6"/>
        </w:numPr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Sanzioni amministrative e penali: </w:t>
      </w:r>
      <w:r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€ </w:t>
      </w:r>
      <w:r w:rsidR="00897663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1.209.000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, di cui € </w:t>
      </w:r>
      <w:r w:rsidR="00897663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896.000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amministrative e € </w:t>
      </w:r>
      <w:r w:rsidR="00897663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313.000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penali, contro i € </w:t>
      </w:r>
      <w:r w:rsidR="00897663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1.336.846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totali del 2023.</w:t>
      </w:r>
    </w:p>
    <w:p w14:paraId="40DCCE07" w14:textId="6963A8BE" w:rsidR="00037440" w:rsidRDefault="00037440" w:rsidP="00037440">
      <w:pPr>
        <w:widowControl/>
        <w:autoSpaceDE/>
        <w:autoSpaceDN/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---------------------------------------------------------------------------------------------------------------</w:t>
      </w:r>
    </w:p>
    <w:p w14:paraId="3FE0FD6E" w14:textId="77777777" w:rsidR="00E93FDF" w:rsidRDefault="00E93FDF" w:rsidP="00B66093">
      <w:pPr>
        <w:widowControl/>
        <w:autoSpaceDE/>
        <w:autoSpaceDN/>
        <w:spacing w:before="100" w:beforeAutospacing="1" w:after="100" w:afterAutospacing="1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465CD3DA" w14:textId="77777777" w:rsidR="00E93FDF" w:rsidRDefault="00E93FDF" w:rsidP="00B66093">
      <w:pPr>
        <w:widowControl/>
        <w:autoSpaceDE/>
        <w:autoSpaceDN/>
        <w:spacing w:before="100" w:beforeAutospacing="1" w:after="100" w:afterAutospacing="1"/>
        <w:ind w:left="36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</w:p>
    <w:p w14:paraId="2737810B" w14:textId="2446ACB8" w:rsidR="00B66093" w:rsidRPr="00DF7821" w:rsidRDefault="00B66093" w:rsidP="00B66093">
      <w:pPr>
        <w:widowControl/>
        <w:autoSpaceDE/>
        <w:autoSpaceDN/>
        <w:spacing w:before="100" w:beforeAutospacing="1" w:after="100" w:afterAutospacing="1"/>
        <w:ind w:left="360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DF782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lastRenderedPageBreak/>
        <w:t xml:space="preserve">Contenzioso </w:t>
      </w:r>
      <w:r w:rsidR="00DA1A72" w:rsidRPr="00DF782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amministrativo/</w:t>
      </w:r>
      <w:r w:rsidRPr="00DF7821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giudiziario </w:t>
      </w:r>
    </w:p>
    <w:p w14:paraId="0CE1FF0F" w14:textId="77777777" w:rsidR="00DA1A72" w:rsidRPr="0071649E" w:rsidRDefault="00B66093" w:rsidP="00897663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Dal momento che non sempre i datori di lavoro scelgono il pagamento” agevolato” delle sanzioni contestate, che comporterebbe la </w:t>
      </w:r>
      <w:r w:rsidR="00DA1A72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loro 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applicazione </w:t>
      </w:r>
      <w:r w:rsidR="00DA1A72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nella misura minima, 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l'Ispettorato Territoriale del Lavoro deve adottare provvedimenti amministrativi</w:t>
      </w:r>
      <w:r w:rsidR="00DA1A72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finalizzati alla riscossione delle somme dovute.</w:t>
      </w:r>
    </w:p>
    <w:p w14:paraId="1971375F" w14:textId="77777777" w:rsidR="005317E2" w:rsidRPr="0071649E" w:rsidRDefault="005317E2" w:rsidP="005317E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Tali atti sono adottati anche in conseguenza di rapporti pervenuti da altri organi di vigilanza (INPS, INAIL, Guardia di Finanza).</w:t>
      </w:r>
    </w:p>
    <w:p w14:paraId="7872C868" w14:textId="77777777" w:rsidR="005317E2" w:rsidRPr="0071649E" w:rsidRDefault="005317E2" w:rsidP="005317E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Nel corso dell'anno 2024 l'ufficio ha adottato 220 Ordinanze per un importo ingiunto complessivo di € 822.132,53.</w:t>
      </w:r>
    </w:p>
    <w:p w14:paraId="667F3331" w14:textId="77777777" w:rsidR="005317E2" w:rsidRPr="0071649E" w:rsidRDefault="005317E2" w:rsidP="005317E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Sono state inoltre iscritte a ruolo 298 partite per un importo complessivo iscritto a ruolo di € 1.010.808,13. </w:t>
      </w:r>
    </w:p>
    <w:p w14:paraId="38DBD0EB" w14:textId="77777777" w:rsidR="005317E2" w:rsidRPr="0071649E" w:rsidRDefault="005317E2" w:rsidP="005317E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Le somme riscosse nel 2024 a titolo di sanzioni amministrative da ingiunzioni ammontano ad € 79.341,00. </w:t>
      </w:r>
    </w:p>
    <w:p w14:paraId="63EA9359" w14:textId="77777777" w:rsidR="005317E2" w:rsidRPr="0071649E" w:rsidRDefault="005317E2" w:rsidP="005317E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Le sanzioni amministrative riscosse da cartelle a seguito di iscrizione a ruolo sono invece pari ad € 474.607,38.</w:t>
      </w:r>
    </w:p>
    <w:p w14:paraId="39239E37" w14:textId="77777777" w:rsidR="005317E2" w:rsidRPr="0071649E" w:rsidRDefault="005317E2" w:rsidP="005317E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Sono stati inoltre adottati 7 provvedimenti di rateizzazione e 2 di rideterminazione.</w:t>
      </w:r>
    </w:p>
    <w:p w14:paraId="26797880" w14:textId="77777777" w:rsidR="005317E2" w:rsidRPr="0071649E" w:rsidRDefault="005317E2" w:rsidP="005317E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Sempre nel 2024, si sono concluse positivamente 3 cause in primo grado, con incasso dell’I.T.L. per spese legali pari ad € 6.500,00. </w:t>
      </w:r>
    </w:p>
    <w:p w14:paraId="1D109C25" w14:textId="77777777" w:rsidR="005317E2" w:rsidRPr="0071649E" w:rsidRDefault="005317E2" w:rsidP="005317E2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Sono stati decisi 6 ricorsi avverso provvedimenti di diffida accertativa con conferma degli atti adottati.</w:t>
      </w:r>
    </w:p>
    <w:p w14:paraId="5C030F9A" w14:textId="4EDE9F3E" w:rsidR="005317E2" w:rsidRPr="00037440" w:rsidRDefault="00037440" w:rsidP="00897663">
      <w:pPr>
        <w:widowControl/>
        <w:autoSpaceDE/>
        <w:autoSpaceDN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it-IT"/>
        </w:rPr>
        <w:t>---------------------------------------------------------------------------------------------------------------</w:t>
      </w:r>
    </w:p>
    <w:p w14:paraId="1B014962" w14:textId="77777777" w:rsidR="0059582B" w:rsidRDefault="0059582B" w:rsidP="00292959">
      <w:pPr>
        <w:rPr>
          <w:rFonts w:ascii="Times New Roman" w:hAnsi="Times New Roman" w:cs="Times New Roman"/>
          <w:sz w:val="28"/>
          <w:szCs w:val="28"/>
        </w:rPr>
      </w:pPr>
    </w:p>
    <w:p w14:paraId="630F38C5" w14:textId="71AA73AB" w:rsidR="00292959" w:rsidRPr="00E93FDF" w:rsidRDefault="00292959" w:rsidP="00E93F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8511920"/>
      <w:r w:rsidRPr="00E93FDF">
        <w:rPr>
          <w:rFonts w:ascii="Times New Roman" w:hAnsi="Times New Roman" w:cs="Times New Roman"/>
          <w:b/>
          <w:bCs/>
          <w:sz w:val="28"/>
          <w:szCs w:val="28"/>
        </w:rPr>
        <w:t>Attività di servizio all' Utenza</w:t>
      </w:r>
    </w:p>
    <w:p w14:paraId="0EB224C9" w14:textId="77777777" w:rsidR="00292959" w:rsidRPr="00E93FDF" w:rsidRDefault="00292959" w:rsidP="00E93FDF">
      <w:pPr>
        <w:jc w:val="center"/>
        <w:rPr>
          <w:b/>
          <w:bCs/>
          <w:sz w:val="28"/>
          <w:szCs w:val="28"/>
        </w:rPr>
      </w:pPr>
    </w:p>
    <w:p w14:paraId="25A44B81" w14:textId="1D827509" w:rsidR="0059582B" w:rsidRPr="0071649E" w:rsidRDefault="0059582B" w:rsidP="00292959">
      <w:pPr>
        <w:rPr>
          <w:rFonts w:ascii="Times New Roman" w:hAnsi="Times New Roman" w:cs="Times New Roman"/>
          <w:sz w:val="28"/>
          <w:szCs w:val="28"/>
        </w:rPr>
      </w:pPr>
      <w:r w:rsidRPr="0071649E">
        <w:rPr>
          <w:rFonts w:ascii="Times New Roman" w:hAnsi="Times New Roman" w:cs="Times New Roman"/>
          <w:sz w:val="28"/>
          <w:szCs w:val="28"/>
        </w:rPr>
        <w:t xml:space="preserve">In tale ambito sono stati adottati </w:t>
      </w:r>
    </w:p>
    <w:p w14:paraId="0727D0D0" w14:textId="77777777" w:rsidR="0059582B" w:rsidRPr="0071649E" w:rsidRDefault="0059582B" w:rsidP="00292959">
      <w:pPr>
        <w:rPr>
          <w:rFonts w:ascii="Times New Roman" w:hAnsi="Times New Roman" w:cs="Times New Roman"/>
          <w:sz w:val="28"/>
          <w:szCs w:val="28"/>
        </w:rPr>
      </w:pPr>
    </w:p>
    <w:p w14:paraId="52285F3E" w14:textId="1B84C714" w:rsidR="00292959" w:rsidRPr="0071649E" w:rsidRDefault="00292959" w:rsidP="005317E2">
      <w:pPr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71649E">
        <w:rPr>
          <w:rFonts w:ascii="Times New Roman" w:hAnsi="Times New Roman" w:cs="Times New Roman"/>
          <w:sz w:val="28"/>
          <w:szCs w:val="28"/>
        </w:rPr>
        <w:t>P</w:t>
      </w:r>
      <w:r w:rsidR="00037440" w:rsidRPr="0071649E">
        <w:rPr>
          <w:rFonts w:ascii="Times New Roman" w:hAnsi="Times New Roman" w:cs="Times New Roman"/>
          <w:sz w:val="28"/>
          <w:szCs w:val="28"/>
        </w:rPr>
        <w:t xml:space="preserve">rovvedimenti di astensione </w:t>
      </w:r>
      <w:proofErr w:type="spellStart"/>
      <w:r w:rsidR="00037440" w:rsidRPr="0071649E">
        <w:rPr>
          <w:rFonts w:ascii="Times New Roman" w:hAnsi="Times New Roman" w:cs="Times New Roman"/>
          <w:sz w:val="28"/>
          <w:szCs w:val="28"/>
        </w:rPr>
        <w:t>Pre</w:t>
      </w:r>
      <w:proofErr w:type="spellEnd"/>
      <w:r w:rsidR="00037440" w:rsidRPr="0071649E">
        <w:rPr>
          <w:rFonts w:ascii="Times New Roman" w:hAnsi="Times New Roman" w:cs="Times New Roman"/>
          <w:sz w:val="28"/>
          <w:szCs w:val="28"/>
        </w:rPr>
        <w:t xml:space="preserve"> e post partum</w:t>
      </w:r>
      <w:r w:rsidRPr="0071649E">
        <w:rPr>
          <w:rFonts w:ascii="Times New Roman" w:hAnsi="Times New Roman" w:cs="Times New Roman"/>
          <w:sz w:val="28"/>
          <w:szCs w:val="28"/>
        </w:rPr>
        <w:t>: </w:t>
      </w:r>
      <w:r w:rsidR="005317E2" w:rsidRPr="0071649E">
        <w:rPr>
          <w:rFonts w:ascii="Times New Roman" w:hAnsi="Times New Roman" w:cs="Times New Roman"/>
          <w:sz w:val="28"/>
          <w:szCs w:val="28"/>
        </w:rPr>
        <w:t xml:space="preserve">N. </w:t>
      </w:r>
      <w:r w:rsidR="007A6F2F" w:rsidRPr="0071649E">
        <w:rPr>
          <w:rFonts w:ascii="Times New Roman" w:hAnsi="Times New Roman" w:cs="Times New Roman"/>
          <w:sz w:val="28"/>
          <w:szCs w:val="28"/>
        </w:rPr>
        <w:t>700</w:t>
      </w:r>
    </w:p>
    <w:p w14:paraId="71DAB7C5" w14:textId="77777777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C8F022" w14:textId="034B1AB4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  <w:r w:rsidRPr="0071649E">
        <w:rPr>
          <w:rFonts w:ascii="Times New Roman" w:hAnsi="Times New Roman" w:cs="Times New Roman"/>
          <w:sz w:val="28"/>
          <w:szCs w:val="28"/>
        </w:rPr>
        <w:t>C</w:t>
      </w:r>
      <w:r w:rsidR="00037440" w:rsidRPr="0071649E">
        <w:rPr>
          <w:rFonts w:ascii="Times New Roman" w:hAnsi="Times New Roman" w:cs="Times New Roman"/>
          <w:sz w:val="28"/>
          <w:szCs w:val="28"/>
        </w:rPr>
        <w:t>onvalide di dimissioni di Lavorat</w:t>
      </w:r>
      <w:r w:rsidR="00CE4ED2">
        <w:rPr>
          <w:rFonts w:ascii="Times New Roman" w:hAnsi="Times New Roman" w:cs="Times New Roman"/>
          <w:sz w:val="28"/>
          <w:szCs w:val="28"/>
        </w:rPr>
        <w:t>o</w:t>
      </w:r>
      <w:r w:rsidR="00037440" w:rsidRPr="0071649E">
        <w:rPr>
          <w:rFonts w:ascii="Times New Roman" w:hAnsi="Times New Roman" w:cs="Times New Roman"/>
          <w:sz w:val="28"/>
          <w:szCs w:val="28"/>
        </w:rPr>
        <w:t>ri e/o lavoratori madri/padri</w:t>
      </w:r>
      <w:r w:rsidRPr="0071649E">
        <w:rPr>
          <w:rFonts w:ascii="Times New Roman" w:hAnsi="Times New Roman" w:cs="Times New Roman"/>
          <w:sz w:val="28"/>
          <w:szCs w:val="28"/>
        </w:rPr>
        <w:t>:</w:t>
      </w:r>
      <w:r w:rsidR="005317E2" w:rsidRPr="0071649E">
        <w:rPr>
          <w:rFonts w:ascii="Times New Roman" w:hAnsi="Times New Roman" w:cs="Times New Roman"/>
          <w:sz w:val="28"/>
          <w:szCs w:val="28"/>
        </w:rPr>
        <w:t xml:space="preserve"> N. </w:t>
      </w:r>
      <w:r w:rsidR="007A6F2F" w:rsidRPr="0071649E">
        <w:rPr>
          <w:rFonts w:ascii="Times New Roman" w:hAnsi="Times New Roman" w:cs="Times New Roman"/>
          <w:sz w:val="28"/>
          <w:szCs w:val="28"/>
        </w:rPr>
        <w:t>595</w:t>
      </w:r>
    </w:p>
    <w:p w14:paraId="2DB13406" w14:textId="77777777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25A4C6" w14:textId="1D1B5F83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  <w:r w:rsidRPr="0071649E">
        <w:rPr>
          <w:rFonts w:ascii="Times New Roman" w:hAnsi="Times New Roman" w:cs="Times New Roman"/>
          <w:sz w:val="28"/>
          <w:szCs w:val="28"/>
        </w:rPr>
        <w:t>P</w:t>
      </w:r>
      <w:r w:rsidR="00037440" w:rsidRPr="0071649E">
        <w:rPr>
          <w:rFonts w:ascii="Times New Roman" w:hAnsi="Times New Roman" w:cs="Times New Roman"/>
          <w:sz w:val="28"/>
          <w:szCs w:val="28"/>
        </w:rPr>
        <w:t>rovvedimenti autorizzativi ex art 4 L 300/1970 impianti di controllo a distanza</w:t>
      </w:r>
      <w:r w:rsidRPr="0071649E">
        <w:rPr>
          <w:rFonts w:ascii="Times New Roman" w:hAnsi="Times New Roman" w:cs="Times New Roman"/>
          <w:sz w:val="28"/>
          <w:szCs w:val="28"/>
        </w:rPr>
        <w:t>:</w:t>
      </w:r>
      <w:r w:rsidR="005317E2" w:rsidRPr="0071649E">
        <w:rPr>
          <w:rFonts w:ascii="Times New Roman" w:hAnsi="Times New Roman" w:cs="Times New Roman"/>
          <w:sz w:val="28"/>
          <w:szCs w:val="28"/>
        </w:rPr>
        <w:t xml:space="preserve"> N. </w:t>
      </w:r>
      <w:r w:rsidR="007A6F2F" w:rsidRPr="0071649E">
        <w:rPr>
          <w:rFonts w:ascii="Times New Roman" w:hAnsi="Times New Roman" w:cs="Times New Roman"/>
          <w:sz w:val="28"/>
          <w:szCs w:val="28"/>
        </w:rPr>
        <w:t>237</w:t>
      </w:r>
    </w:p>
    <w:p w14:paraId="792EE431" w14:textId="77777777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F528B6" w14:textId="694A6EEA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  <w:r w:rsidRPr="0071649E">
        <w:rPr>
          <w:rFonts w:ascii="Times New Roman" w:hAnsi="Times New Roman" w:cs="Times New Roman"/>
          <w:sz w:val="28"/>
          <w:szCs w:val="28"/>
        </w:rPr>
        <w:t>P</w:t>
      </w:r>
      <w:r w:rsidR="00037440" w:rsidRPr="0071649E">
        <w:rPr>
          <w:rFonts w:ascii="Times New Roman" w:hAnsi="Times New Roman" w:cs="Times New Roman"/>
          <w:sz w:val="28"/>
          <w:szCs w:val="28"/>
        </w:rPr>
        <w:t>rovvedimenti autorizzativi all’impiego di minori nel settore dello spettacolo</w:t>
      </w:r>
      <w:r w:rsidRPr="0071649E">
        <w:rPr>
          <w:rFonts w:ascii="Times New Roman" w:hAnsi="Times New Roman" w:cs="Times New Roman"/>
          <w:sz w:val="28"/>
          <w:szCs w:val="28"/>
        </w:rPr>
        <w:t>:</w:t>
      </w:r>
      <w:r w:rsidR="005317E2" w:rsidRPr="0071649E">
        <w:rPr>
          <w:rFonts w:ascii="Times New Roman" w:hAnsi="Times New Roman" w:cs="Times New Roman"/>
          <w:sz w:val="28"/>
          <w:szCs w:val="28"/>
        </w:rPr>
        <w:t xml:space="preserve"> N. 1</w:t>
      </w:r>
      <w:r w:rsidR="007A6F2F" w:rsidRPr="0071649E">
        <w:rPr>
          <w:rFonts w:ascii="Times New Roman" w:hAnsi="Times New Roman" w:cs="Times New Roman"/>
          <w:sz w:val="28"/>
          <w:szCs w:val="28"/>
        </w:rPr>
        <w:t>1</w:t>
      </w:r>
    </w:p>
    <w:p w14:paraId="562790BA" w14:textId="77777777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81BC4" w14:textId="78A5E571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  <w:r w:rsidRPr="0071649E">
        <w:rPr>
          <w:rFonts w:ascii="Times New Roman" w:hAnsi="Times New Roman" w:cs="Times New Roman"/>
          <w:sz w:val="28"/>
          <w:szCs w:val="28"/>
        </w:rPr>
        <w:t>P</w:t>
      </w:r>
      <w:r w:rsidR="00037440" w:rsidRPr="0071649E">
        <w:rPr>
          <w:rFonts w:ascii="Times New Roman" w:hAnsi="Times New Roman" w:cs="Times New Roman"/>
          <w:sz w:val="28"/>
          <w:szCs w:val="28"/>
        </w:rPr>
        <w:t>areri di competenza per ingressi di lavoratori/</w:t>
      </w:r>
      <w:proofErr w:type="spellStart"/>
      <w:r w:rsidR="00037440" w:rsidRPr="0071649E">
        <w:rPr>
          <w:rFonts w:ascii="Times New Roman" w:hAnsi="Times New Roman" w:cs="Times New Roman"/>
          <w:sz w:val="28"/>
          <w:szCs w:val="28"/>
        </w:rPr>
        <w:t>trici</w:t>
      </w:r>
      <w:proofErr w:type="spellEnd"/>
      <w:r w:rsidR="00037440" w:rsidRPr="0071649E">
        <w:rPr>
          <w:rFonts w:ascii="Times New Roman" w:hAnsi="Times New Roman" w:cs="Times New Roman"/>
          <w:sz w:val="28"/>
          <w:szCs w:val="28"/>
        </w:rPr>
        <w:t xml:space="preserve"> Extra U.E.</w:t>
      </w:r>
      <w:r w:rsidRPr="0071649E">
        <w:rPr>
          <w:rFonts w:ascii="Times New Roman" w:hAnsi="Times New Roman" w:cs="Times New Roman"/>
          <w:sz w:val="28"/>
          <w:szCs w:val="28"/>
        </w:rPr>
        <w:t>:</w:t>
      </w:r>
      <w:r w:rsidR="005317E2" w:rsidRPr="0071649E">
        <w:rPr>
          <w:rFonts w:ascii="Times New Roman" w:hAnsi="Times New Roman" w:cs="Times New Roman"/>
          <w:sz w:val="28"/>
          <w:szCs w:val="28"/>
        </w:rPr>
        <w:t xml:space="preserve"> N. </w:t>
      </w:r>
      <w:r w:rsidR="007A6F2F" w:rsidRPr="0071649E">
        <w:rPr>
          <w:rFonts w:ascii="Times New Roman" w:hAnsi="Times New Roman" w:cs="Times New Roman"/>
          <w:sz w:val="28"/>
          <w:szCs w:val="28"/>
        </w:rPr>
        <w:t>220</w:t>
      </w:r>
    </w:p>
    <w:p w14:paraId="517E1321" w14:textId="77777777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1B59E6" w14:textId="4EFFBDE6" w:rsidR="00292959" w:rsidRPr="0071649E" w:rsidRDefault="00292959" w:rsidP="005317E2">
      <w:pPr>
        <w:jc w:val="both"/>
        <w:rPr>
          <w:rFonts w:ascii="Times New Roman" w:hAnsi="Times New Roman" w:cs="Times New Roman"/>
          <w:sz w:val="28"/>
          <w:szCs w:val="28"/>
        </w:rPr>
      </w:pPr>
      <w:r w:rsidRPr="0071649E">
        <w:rPr>
          <w:rFonts w:ascii="Times New Roman" w:hAnsi="Times New Roman" w:cs="Times New Roman"/>
          <w:sz w:val="28"/>
          <w:szCs w:val="28"/>
        </w:rPr>
        <w:lastRenderedPageBreak/>
        <w:t>T</w:t>
      </w:r>
      <w:r w:rsidR="00037440" w:rsidRPr="0071649E">
        <w:rPr>
          <w:rFonts w:ascii="Times New Roman" w:hAnsi="Times New Roman" w:cs="Times New Roman"/>
          <w:sz w:val="28"/>
          <w:szCs w:val="28"/>
        </w:rPr>
        <w:t xml:space="preserve">entativi di conciliazione, ex art 410 e 411 </w:t>
      </w:r>
      <w:proofErr w:type="spellStart"/>
      <w:r w:rsidR="00037440" w:rsidRPr="0071649E">
        <w:rPr>
          <w:rFonts w:ascii="Times New Roman" w:hAnsi="Times New Roman" w:cs="Times New Roman"/>
          <w:sz w:val="28"/>
          <w:szCs w:val="28"/>
        </w:rPr>
        <w:t>c.p.c</w:t>
      </w:r>
      <w:proofErr w:type="spellEnd"/>
      <w:r w:rsidR="00037440" w:rsidRPr="0071649E">
        <w:rPr>
          <w:rFonts w:ascii="Times New Roman" w:hAnsi="Times New Roman" w:cs="Times New Roman"/>
          <w:sz w:val="28"/>
          <w:szCs w:val="28"/>
        </w:rPr>
        <w:t xml:space="preserve">, </w:t>
      </w:r>
      <w:r w:rsidR="0004107A" w:rsidRPr="0071649E">
        <w:rPr>
          <w:rFonts w:ascii="Times New Roman" w:hAnsi="Times New Roman" w:cs="Times New Roman"/>
          <w:sz w:val="28"/>
          <w:szCs w:val="28"/>
        </w:rPr>
        <w:t>trattati:</w:t>
      </w:r>
      <w:r w:rsidR="005317E2" w:rsidRPr="0071649E">
        <w:rPr>
          <w:rFonts w:ascii="Times New Roman" w:hAnsi="Times New Roman" w:cs="Times New Roman"/>
          <w:sz w:val="28"/>
          <w:szCs w:val="28"/>
        </w:rPr>
        <w:t xml:space="preserve"> N. </w:t>
      </w:r>
      <w:r w:rsidRPr="0071649E">
        <w:rPr>
          <w:rFonts w:ascii="Times New Roman" w:hAnsi="Times New Roman" w:cs="Times New Roman"/>
          <w:sz w:val="28"/>
          <w:szCs w:val="28"/>
        </w:rPr>
        <w:t xml:space="preserve"> 2</w:t>
      </w:r>
      <w:r w:rsidR="007A6F2F" w:rsidRPr="0071649E">
        <w:rPr>
          <w:rFonts w:ascii="Times New Roman" w:hAnsi="Times New Roman" w:cs="Times New Roman"/>
          <w:sz w:val="28"/>
          <w:szCs w:val="28"/>
        </w:rPr>
        <w:t>35 (esito positivi</w:t>
      </w:r>
      <w:r w:rsidR="005317E2" w:rsidRPr="0071649E">
        <w:rPr>
          <w:rFonts w:ascii="Times New Roman" w:hAnsi="Times New Roman" w:cs="Times New Roman"/>
          <w:sz w:val="28"/>
          <w:szCs w:val="28"/>
        </w:rPr>
        <w:t xml:space="preserve"> n.</w:t>
      </w:r>
      <w:r w:rsidR="007A6F2F" w:rsidRPr="0071649E">
        <w:rPr>
          <w:rFonts w:ascii="Times New Roman" w:hAnsi="Times New Roman" w:cs="Times New Roman"/>
          <w:sz w:val="28"/>
          <w:szCs w:val="28"/>
        </w:rPr>
        <w:t xml:space="preserve"> 156)</w:t>
      </w:r>
    </w:p>
    <w:p w14:paraId="772FD516" w14:textId="77777777" w:rsidR="007A6F2F" w:rsidRPr="0071649E" w:rsidRDefault="007A6F2F" w:rsidP="005317E2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210FC" w14:textId="42C560D1" w:rsidR="007A6F2F" w:rsidRPr="0071649E" w:rsidRDefault="007A6F2F" w:rsidP="005317E2">
      <w:pPr>
        <w:jc w:val="both"/>
        <w:rPr>
          <w:rFonts w:ascii="Times New Roman" w:hAnsi="Times New Roman" w:cs="Times New Roman"/>
          <w:sz w:val="28"/>
          <w:szCs w:val="28"/>
        </w:rPr>
      </w:pPr>
      <w:r w:rsidRPr="0071649E">
        <w:rPr>
          <w:rFonts w:ascii="Times New Roman" w:hAnsi="Times New Roman" w:cs="Times New Roman"/>
          <w:sz w:val="28"/>
          <w:szCs w:val="28"/>
        </w:rPr>
        <w:t>C</w:t>
      </w:r>
      <w:r w:rsidR="00037440" w:rsidRPr="0071649E">
        <w:rPr>
          <w:rFonts w:ascii="Times New Roman" w:hAnsi="Times New Roman" w:cs="Times New Roman"/>
          <w:sz w:val="28"/>
          <w:szCs w:val="28"/>
        </w:rPr>
        <w:t>ontratti di lavoro certificati</w:t>
      </w:r>
      <w:r w:rsidR="005317E2" w:rsidRPr="0071649E">
        <w:rPr>
          <w:rFonts w:ascii="Times New Roman" w:hAnsi="Times New Roman" w:cs="Times New Roman"/>
          <w:sz w:val="28"/>
          <w:szCs w:val="28"/>
        </w:rPr>
        <w:t>: N.</w:t>
      </w:r>
      <w:r w:rsidRPr="0071649E">
        <w:rPr>
          <w:rFonts w:ascii="Times New Roman" w:hAnsi="Times New Roman" w:cs="Times New Roman"/>
          <w:sz w:val="28"/>
          <w:szCs w:val="28"/>
        </w:rPr>
        <w:t xml:space="preserve"> 21</w:t>
      </w:r>
    </w:p>
    <w:p w14:paraId="04053855" w14:textId="77777777" w:rsidR="00292959" w:rsidRPr="00037440" w:rsidRDefault="00292959" w:rsidP="005317E2">
      <w:pPr>
        <w:jc w:val="both"/>
        <w:rPr>
          <w:rFonts w:ascii="Times New Roman" w:hAnsi="Times New Roman" w:cs="Times New Roman"/>
        </w:rPr>
      </w:pPr>
    </w:p>
    <w:bookmarkEnd w:id="1"/>
    <w:p w14:paraId="0CB1D175" w14:textId="257C3EB2" w:rsidR="0038166A" w:rsidRPr="0071649E" w:rsidRDefault="00571357" w:rsidP="00275685">
      <w:pPr>
        <w:widowControl/>
        <w:autoSpaceDE/>
        <w:autoSpaceDN/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D</w:t>
      </w:r>
      <w:r w:rsidR="00275685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 xml:space="preserve">ichiarazione del Direttore dell’Ispettorato di </w:t>
      </w:r>
      <w:r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Piacenza</w:t>
      </w:r>
      <w:r w:rsidR="00275685" w:rsidRPr="0071649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:</w:t>
      </w:r>
    </w:p>
    <w:p w14:paraId="56CD5F37" w14:textId="2A7DF474" w:rsidR="00275685" w:rsidRPr="0071649E" w:rsidRDefault="00275685" w:rsidP="0038166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“I dati del 2024 testimoniano un deciso rafforzamento dell’attività di vigilanza, grazie anche a una pianificazione più efficace e all’impegno costante del nostro personale. La nostra azione ha contribuito non solo a individuare irregolarità ma anche a promuovere la cultura della legalità e della sicurezza nei luoghi di lavoro.”</w:t>
      </w:r>
    </w:p>
    <w:p w14:paraId="1FCAA6A9" w14:textId="48CB323E" w:rsidR="00275685" w:rsidRPr="0071649E" w:rsidRDefault="00275685" w:rsidP="0038166A">
      <w:pPr>
        <w:widowControl/>
        <w:autoSpaceDE/>
        <w:autoSpaceDN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L’Ispettorato del Lavoro di </w:t>
      </w:r>
      <w:r w:rsidR="0038166A"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>Piacenza</w:t>
      </w:r>
      <w:r w:rsidRPr="0071649E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rinnova il proprio impegno nella lotta alle irregolarità e invita le aziende del territorio a collaborare attivamente per garantire un ambiente lavorativo rispettoso delle normative vigenti.</w:t>
      </w:r>
    </w:p>
    <w:p w14:paraId="423BAAEB" w14:textId="10EC84A7" w:rsidR="002618A3" w:rsidRPr="0071649E" w:rsidRDefault="00491D35" w:rsidP="00E36646">
      <w:pPr>
        <w:spacing w:line="360" w:lineRule="auto"/>
        <w:ind w:left="6480" w:right="87" w:firstLine="720"/>
        <w:jc w:val="center"/>
        <w:rPr>
          <w:rFonts w:ascii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hAnsi="Times New Roman" w:cs="Times New Roman"/>
          <w:sz w:val="28"/>
          <w:szCs w:val="28"/>
          <w:lang w:eastAsia="it-IT"/>
        </w:rPr>
        <w:t>IL DIR</w:t>
      </w:r>
      <w:r w:rsidR="0025394C" w:rsidRPr="0071649E">
        <w:rPr>
          <w:rFonts w:ascii="Times New Roman" w:hAnsi="Times New Roman" w:cs="Times New Roman"/>
          <w:sz w:val="28"/>
          <w:szCs w:val="28"/>
          <w:lang w:eastAsia="it-IT"/>
        </w:rPr>
        <w:t xml:space="preserve">ETTORE </w:t>
      </w:r>
    </w:p>
    <w:p w14:paraId="2418004F" w14:textId="75B3F1F9" w:rsidR="00491D35" w:rsidRPr="0071649E" w:rsidRDefault="00491D35" w:rsidP="00E36646">
      <w:pPr>
        <w:spacing w:line="360" w:lineRule="auto"/>
        <w:ind w:left="6480" w:right="87" w:firstLine="720"/>
        <w:jc w:val="center"/>
        <w:rPr>
          <w:rFonts w:ascii="Times New Roman" w:hAnsi="Times New Roman" w:cs="Times New Roman"/>
          <w:sz w:val="28"/>
          <w:szCs w:val="28"/>
          <w:lang w:eastAsia="it-IT"/>
        </w:rPr>
      </w:pPr>
      <w:r w:rsidRPr="0071649E">
        <w:rPr>
          <w:rFonts w:ascii="Times New Roman" w:hAnsi="Times New Roman" w:cs="Times New Roman"/>
          <w:sz w:val="28"/>
          <w:szCs w:val="28"/>
          <w:lang w:eastAsia="it-IT"/>
        </w:rPr>
        <w:t>A</w:t>
      </w:r>
      <w:r w:rsidR="007F38BA" w:rsidRPr="0071649E">
        <w:rPr>
          <w:rFonts w:ascii="Times New Roman" w:hAnsi="Times New Roman" w:cs="Times New Roman"/>
          <w:sz w:val="28"/>
          <w:szCs w:val="28"/>
          <w:lang w:eastAsia="it-IT"/>
        </w:rPr>
        <w:t>lberto Gardina</w:t>
      </w:r>
    </w:p>
    <w:p w14:paraId="573771E7" w14:textId="54FBD441" w:rsidR="0038166A" w:rsidRPr="0038166A" w:rsidRDefault="00AF7DE1" w:rsidP="00571357">
      <w:pPr>
        <w:ind w:right="87"/>
        <w:rPr>
          <w:rFonts w:ascii="Tahoma" w:hAnsi="Tahoma" w:cs="Tahoma"/>
          <w:sz w:val="28"/>
          <w:szCs w:val="28"/>
          <w:lang w:eastAsia="it-IT"/>
        </w:rPr>
      </w:pPr>
      <w:r w:rsidRPr="001E1EF8">
        <w:rPr>
          <w:rFonts w:ascii="Tahoma" w:hAnsi="Tahoma" w:cs="Tahoma"/>
          <w:i/>
          <w:sz w:val="28"/>
          <w:szCs w:val="28"/>
          <w:lang w:eastAsia="it-IT"/>
        </w:rPr>
        <w:t xml:space="preserve"> </w:t>
      </w:r>
    </w:p>
    <w:p w14:paraId="318997B3" w14:textId="77777777" w:rsidR="0038166A" w:rsidRPr="0038166A" w:rsidRDefault="0038166A" w:rsidP="0038166A">
      <w:pPr>
        <w:rPr>
          <w:rFonts w:ascii="Tahoma" w:hAnsi="Tahoma" w:cs="Tahoma"/>
          <w:sz w:val="28"/>
          <w:szCs w:val="28"/>
          <w:lang w:eastAsia="it-IT"/>
        </w:rPr>
      </w:pPr>
    </w:p>
    <w:p w14:paraId="7D0CEA8E" w14:textId="77777777" w:rsidR="0038166A" w:rsidRPr="0038166A" w:rsidRDefault="0038166A" w:rsidP="0038166A">
      <w:pPr>
        <w:rPr>
          <w:rFonts w:ascii="Tahoma" w:hAnsi="Tahoma" w:cs="Tahoma"/>
          <w:sz w:val="28"/>
          <w:szCs w:val="28"/>
          <w:lang w:eastAsia="it-IT"/>
        </w:rPr>
      </w:pPr>
    </w:p>
    <w:p w14:paraId="5A7922DA" w14:textId="77777777" w:rsidR="0038166A" w:rsidRPr="0038166A" w:rsidRDefault="0038166A" w:rsidP="0038166A">
      <w:pPr>
        <w:rPr>
          <w:rFonts w:ascii="Tahoma" w:hAnsi="Tahoma" w:cs="Tahoma"/>
          <w:sz w:val="28"/>
          <w:szCs w:val="28"/>
          <w:lang w:eastAsia="it-IT"/>
        </w:rPr>
      </w:pPr>
    </w:p>
    <w:p w14:paraId="15E67BC4" w14:textId="77777777" w:rsidR="0038166A" w:rsidRPr="0038166A" w:rsidRDefault="0038166A" w:rsidP="0038166A">
      <w:pPr>
        <w:rPr>
          <w:rFonts w:ascii="Tahoma" w:hAnsi="Tahoma" w:cs="Tahoma"/>
          <w:sz w:val="28"/>
          <w:szCs w:val="28"/>
          <w:lang w:eastAsia="it-IT"/>
        </w:rPr>
      </w:pPr>
    </w:p>
    <w:sectPr w:rsidR="0038166A" w:rsidRPr="0038166A" w:rsidSect="000D4500">
      <w:footerReference w:type="default" r:id="rId12"/>
      <w:type w:val="continuous"/>
      <w:pgSz w:w="11910" w:h="16840"/>
      <w:pgMar w:top="536" w:right="907" w:bottom="278" w:left="993" w:header="142" w:footer="1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CA9B4" w14:textId="77777777" w:rsidR="00F22492" w:rsidRDefault="00F22492" w:rsidP="00F603E5">
      <w:r>
        <w:separator/>
      </w:r>
    </w:p>
  </w:endnote>
  <w:endnote w:type="continuationSeparator" w:id="0">
    <w:p w14:paraId="49D810BD" w14:textId="77777777" w:rsidR="00F22492" w:rsidRDefault="00F22492" w:rsidP="00F60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tillium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nglish157 BT">
    <w:altName w:val="Calibri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EACD5" w14:textId="77777777" w:rsidR="009B0CEE" w:rsidRDefault="009B0CEE" w:rsidP="00162258">
    <w:pPr>
      <w:pStyle w:val="Pidipagina"/>
      <w:tabs>
        <w:tab w:val="clear" w:pos="4819"/>
        <w:tab w:val="clear" w:pos="9638"/>
        <w:tab w:val="left" w:pos="1120"/>
      </w:tabs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25"/>
      <w:gridCol w:w="3322"/>
      <w:gridCol w:w="3363"/>
    </w:tblGrid>
    <w:tr w:rsidR="0025394C" w:rsidRPr="00A3434C" w14:paraId="33352D44" w14:textId="77777777" w:rsidTr="00F93A03">
      <w:tc>
        <w:tcPr>
          <w:tcW w:w="3383" w:type="dxa"/>
          <w:vAlign w:val="center"/>
        </w:tcPr>
        <w:p w14:paraId="60E95107" w14:textId="371C84AE" w:rsidR="00107E49" w:rsidRPr="00A3434C" w:rsidRDefault="00107E49" w:rsidP="004644C3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</w:pPr>
          <w:r w:rsidRPr="00A3434C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 xml:space="preserve">Ispettorato </w:t>
          </w:r>
          <w:r w:rsidR="00491D35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T</w:t>
          </w:r>
          <w:r w:rsidRPr="00A3434C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er</w:t>
          </w:r>
          <w:r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 xml:space="preserve">ritoriale del lavoro di </w:t>
          </w:r>
          <w:r w:rsidR="005D2CE2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Piacenza</w:t>
          </w:r>
          <w:r w:rsidR="0025394C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 xml:space="preserve"> </w:t>
          </w:r>
        </w:p>
      </w:tc>
      <w:tc>
        <w:tcPr>
          <w:tcW w:w="3383" w:type="dxa"/>
          <w:vAlign w:val="center"/>
        </w:tcPr>
        <w:p w14:paraId="333970E4" w14:textId="606D0FC6" w:rsidR="0025394C" w:rsidRDefault="00107E49" w:rsidP="0025394C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</w:pPr>
          <w:r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 xml:space="preserve">Via </w:t>
          </w:r>
          <w:r w:rsidR="00E8149F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Via Rodolfo Boselli</w:t>
          </w:r>
          <w:r w:rsidR="005D2CE2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 xml:space="preserve"> 59/</w:t>
          </w:r>
          <w:r w:rsidR="0038166A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63, Piacenza</w:t>
          </w:r>
          <w:r w:rsidR="0025394C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 xml:space="preserve"> </w:t>
          </w:r>
        </w:p>
        <w:p w14:paraId="46F62084" w14:textId="33C20529" w:rsidR="00107E49" w:rsidRPr="00A3434C" w:rsidRDefault="00107E49" w:rsidP="0025394C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</w:pPr>
          <w:r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Tel.</w:t>
          </w:r>
          <w:r w:rsidR="0025394C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0</w:t>
          </w:r>
          <w:r w:rsidR="005D2CE2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523</w:t>
          </w:r>
          <w:r w:rsidR="0025394C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 xml:space="preserve"> </w:t>
          </w:r>
          <w:r w:rsidR="005D2CE2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339711</w:t>
          </w:r>
          <w:r>
            <w:rPr>
              <w:rFonts w:asciiTheme="minorHAnsi" w:hAnsiTheme="minorHAnsi" w:cstheme="minorHAnsi"/>
              <w:bCs/>
              <w:i/>
              <w:color w:val="17365D" w:themeColor="text2" w:themeShade="BF"/>
              <w:sz w:val="16"/>
              <w:szCs w:val="16"/>
            </w:rPr>
            <w:t xml:space="preserve"> </w:t>
          </w:r>
        </w:p>
      </w:tc>
      <w:tc>
        <w:tcPr>
          <w:tcW w:w="3384" w:type="dxa"/>
          <w:vAlign w:val="center"/>
        </w:tcPr>
        <w:p w14:paraId="6B4A3068" w14:textId="1F0101FD" w:rsidR="00107E49" w:rsidRPr="003D0434" w:rsidRDefault="00107E49" w:rsidP="004644C3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/>
              <w:i/>
              <w:color w:val="1F497D" w:themeColor="text2"/>
              <w:sz w:val="16"/>
              <w:szCs w:val="16"/>
              <w:lang w:val="fr-FR"/>
            </w:rPr>
          </w:pPr>
          <w:r w:rsidRPr="003D0434">
            <w:rPr>
              <w:rFonts w:asciiTheme="minorHAnsi" w:hAnsiTheme="minorHAnsi"/>
              <w:i/>
              <w:color w:val="1F497D" w:themeColor="text2"/>
              <w:sz w:val="16"/>
              <w:szCs w:val="16"/>
              <w:lang w:val="fr-FR"/>
            </w:rPr>
            <w:t>PEC: itl.</w:t>
          </w:r>
          <w:r w:rsidR="00E8149F">
            <w:rPr>
              <w:rFonts w:asciiTheme="minorHAnsi" w:hAnsiTheme="minorHAnsi"/>
              <w:i/>
              <w:color w:val="1F497D" w:themeColor="text2"/>
              <w:sz w:val="16"/>
              <w:szCs w:val="16"/>
              <w:lang w:val="fr-FR"/>
            </w:rPr>
            <w:t>piacenza</w:t>
          </w:r>
          <w:r w:rsidRPr="003D0434">
            <w:rPr>
              <w:rFonts w:asciiTheme="minorHAnsi" w:hAnsiTheme="minorHAnsi"/>
              <w:i/>
              <w:color w:val="1F497D" w:themeColor="text2"/>
              <w:sz w:val="16"/>
              <w:szCs w:val="16"/>
              <w:lang w:val="fr-FR"/>
            </w:rPr>
            <w:t>@pec.ispettorato.gov.it</w:t>
          </w:r>
        </w:p>
        <w:p w14:paraId="182FF86D" w14:textId="5FBD2758" w:rsidR="00107E49" w:rsidRPr="00A3434C" w:rsidRDefault="00107E49" w:rsidP="004644C3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</w:pPr>
          <w:r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 xml:space="preserve">E-mail: </w:t>
          </w:r>
          <w:r w:rsidR="0038166A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ITL. Piacenza</w:t>
          </w:r>
          <w:r w:rsidR="0025394C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 xml:space="preserve"> </w:t>
          </w:r>
          <w:r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@ispettorato.gov.it</w:t>
          </w:r>
        </w:p>
        <w:p w14:paraId="035A1DC8" w14:textId="77777777" w:rsidR="00107E49" w:rsidRPr="00A3434C" w:rsidRDefault="00107E49" w:rsidP="004644C3">
          <w:pPr>
            <w:pStyle w:val="Pidipagina"/>
            <w:tabs>
              <w:tab w:val="clear" w:pos="4819"/>
              <w:tab w:val="clear" w:pos="9638"/>
              <w:tab w:val="left" w:pos="1120"/>
            </w:tabs>
            <w:jc w:val="center"/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</w:pPr>
          <w:r w:rsidRPr="00A3434C">
            <w:rPr>
              <w:rFonts w:asciiTheme="minorHAnsi" w:hAnsiTheme="minorHAnsi"/>
              <w:i/>
              <w:color w:val="1F497D" w:themeColor="text2"/>
              <w:sz w:val="16"/>
              <w:szCs w:val="16"/>
            </w:rPr>
            <w:t>www.ispettorato.gov.it</w:t>
          </w:r>
        </w:p>
      </w:tc>
    </w:tr>
  </w:tbl>
  <w:p w14:paraId="1A16589B" w14:textId="77777777" w:rsidR="00D06771" w:rsidRPr="000B12CA" w:rsidRDefault="00000000">
    <w:pPr>
      <w:pStyle w:val="Pidipagina"/>
      <w:jc w:val="right"/>
      <w:rPr>
        <w:color w:val="1F497D" w:themeColor="text2"/>
      </w:rPr>
    </w:pPr>
    <w:sdt>
      <w:sdtPr>
        <w:rPr>
          <w:color w:val="1F497D" w:themeColor="text2"/>
        </w:rPr>
        <w:id w:val="-291363842"/>
        <w:docPartObj>
          <w:docPartGallery w:val="Page Numbers (Bottom of Page)"/>
          <w:docPartUnique/>
        </w:docPartObj>
      </w:sdtPr>
      <w:sdtContent>
        <w:sdt>
          <w:sdtPr>
            <w:rPr>
              <w:color w:val="1F497D" w:themeColor="text2"/>
            </w:rPr>
            <w:id w:val="860082579"/>
            <w:docPartObj>
              <w:docPartGallery w:val="Page Numbers (Top of Page)"/>
              <w:docPartUnique/>
            </w:docPartObj>
          </w:sdtPr>
          <w:sdtContent>
            <w:r w:rsidR="00D06771" w:rsidRPr="000B12CA">
              <w:rPr>
                <w:rFonts w:ascii="Century" w:hAnsi="Century"/>
                <w:color w:val="1F497D" w:themeColor="text2"/>
                <w:sz w:val="16"/>
                <w:szCs w:val="16"/>
              </w:rPr>
              <w:t xml:space="preserve">Pag. </w:t>
            </w:r>
            <w:r w:rsidR="00D342AB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begin"/>
            </w:r>
            <w:r w:rsidR="00D06771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instrText>PAGE</w:instrText>
            </w:r>
            <w:r w:rsidR="00D342AB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separate"/>
            </w:r>
            <w:r w:rsidR="00E11448">
              <w:rPr>
                <w:rFonts w:ascii="Century" w:hAnsi="Century"/>
                <w:b/>
                <w:bCs/>
                <w:noProof/>
                <w:color w:val="1F497D" w:themeColor="text2"/>
                <w:sz w:val="16"/>
                <w:szCs w:val="16"/>
              </w:rPr>
              <w:t>1</w:t>
            </w:r>
            <w:r w:rsidR="00D342AB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end"/>
            </w:r>
            <w:r w:rsidR="00D06771" w:rsidRPr="000B12CA">
              <w:rPr>
                <w:rFonts w:ascii="Century" w:hAnsi="Century"/>
                <w:color w:val="1F497D" w:themeColor="text2"/>
                <w:sz w:val="16"/>
                <w:szCs w:val="16"/>
              </w:rPr>
              <w:t xml:space="preserve"> a </w:t>
            </w:r>
            <w:r w:rsidR="00D342AB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begin"/>
            </w:r>
            <w:r w:rsidR="00D06771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instrText>NUMPAGES</w:instrText>
            </w:r>
            <w:r w:rsidR="00D342AB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separate"/>
            </w:r>
            <w:r w:rsidR="00E11448">
              <w:rPr>
                <w:rFonts w:ascii="Century" w:hAnsi="Century"/>
                <w:b/>
                <w:bCs/>
                <w:noProof/>
                <w:color w:val="1F497D" w:themeColor="text2"/>
                <w:sz w:val="16"/>
                <w:szCs w:val="16"/>
              </w:rPr>
              <w:t>1</w:t>
            </w:r>
            <w:r w:rsidR="00D342AB" w:rsidRPr="000B12CA">
              <w:rPr>
                <w:rFonts w:ascii="Century" w:hAnsi="Century"/>
                <w:b/>
                <w:bCs/>
                <w:color w:val="1F497D" w:themeColor="text2"/>
                <w:sz w:val="16"/>
                <w:szCs w:val="16"/>
              </w:rPr>
              <w:fldChar w:fldCharType="end"/>
            </w:r>
          </w:sdtContent>
        </w:sdt>
      </w:sdtContent>
    </w:sdt>
  </w:p>
  <w:p w14:paraId="6651F00C" w14:textId="77777777" w:rsidR="00F603E5" w:rsidRDefault="000749A5">
    <w:pPr>
      <w:pStyle w:val="Pidipagina"/>
    </w:pP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3A842AA" wp14:editId="19127217">
              <wp:simplePos x="0" y="0"/>
              <wp:positionH relativeFrom="page">
                <wp:posOffset>563245</wp:posOffset>
              </wp:positionH>
              <wp:positionV relativeFrom="page">
                <wp:posOffset>10490834</wp:posOffset>
              </wp:positionV>
              <wp:extent cx="6407785" cy="0"/>
              <wp:effectExtent l="0" t="19050" r="12065" b="38100"/>
              <wp:wrapNone/>
              <wp:docPr id="2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540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47BB44" id="Line 1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44.35pt,826.05pt" to="548.9pt,8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" strokecolor="#00aeef" strokeweight="1.5mm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7BC06A" w14:textId="77777777" w:rsidR="00F22492" w:rsidRDefault="00F22492" w:rsidP="00F603E5">
      <w:r>
        <w:separator/>
      </w:r>
    </w:p>
  </w:footnote>
  <w:footnote w:type="continuationSeparator" w:id="0">
    <w:p w14:paraId="2B686187" w14:textId="77777777" w:rsidR="00F22492" w:rsidRDefault="00F22492" w:rsidP="00F60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675B7"/>
    <w:multiLevelType w:val="multilevel"/>
    <w:tmpl w:val="A4886C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>
      <w:start w:val="61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F56B1C"/>
    <w:multiLevelType w:val="hybridMultilevel"/>
    <w:tmpl w:val="5A420F06"/>
    <w:lvl w:ilvl="0" w:tplc="978439DE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3" w:hanging="360"/>
      </w:pPr>
    </w:lvl>
    <w:lvl w:ilvl="2" w:tplc="0410001B" w:tentative="1">
      <w:start w:val="1"/>
      <w:numFmt w:val="lowerRoman"/>
      <w:lvlText w:val="%3."/>
      <w:lvlJc w:val="right"/>
      <w:pPr>
        <w:ind w:left="2443" w:hanging="180"/>
      </w:pPr>
    </w:lvl>
    <w:lvl w:ilvl="3" w:tplc="0410000F" w:tentative="1">
      <w:start w:val="1"/>
      <w:numFmt w:val="decimal"/>
      <w:lvlText w:val="%4."/>
      <w:lvlJc w:val="left"/>
      <w:pPr>
        <w:ind w:left="3163" w:hanging="360"/>
      </w:pPr>
    </w:lvl>
    <w:lvl w:ilvl="4" w:tplc="04100019" w:tentative="1">
      <w:start w:val="1"/>
      <w:numFmt w:val="lowerLetter"/>
      <w:lvlText w:val="%5."/>
      <w:lvlJc w:val="left"/>
      <w:pPr>
        <w:ind w:left="3883" w:hanging="360"/>
      </w:pPr>
    </w:lvl>
    <w:lvl w:ilvl="5" w:tplc="0410001B" w:tentative="1">
      <w:start w:val="1"/>
      <w:numFmt w:val="lowerRoman"/>
      <w:lvlText w:val="%6."/>
      <w:lvlJc w:val="right"/>
      <w:pPr>
        <w:ind w:left="4603" w:hanging="180"/>
      </w:pPr>
    </w:lvl>
    <w:lvl w:ilvl="6" w:tplc="0410000F" w:tentative="1">
      <w:start w:val="1"/>
      <w:numFmt w:val="decimal"/>
      <w:lvlText w:val="%7."/>
      <w:lvlJc w:val="left"/>
      <w:pPr>
        <w:ind w:left="5323" w:hanging="360"/>
      </w:pPr>
    </w:lvl>
    <w:lvl w:ilvl="7" w:tplc="04100019" w:tentative="1">
      <w:start w:val="1"/>
      <w:numFmt w:val="lowerLetter"/>
      <w:lvlText w:val="%8."/>
      <w:lvlJc w:val="left"/>
      <w:pPr>
        <w:ind w:left="6043" w:hanging="360"/>
      </w:pPr>
    </w:lvl>
    <w:lvl w:ilvl="8" w:tplc="0410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" w15:restartNumberingAfterBreak="0">
    <w:nsid w:val="339F0C33"/>
    <w:multiLevelType w:val="hybridMultilevel"/>
    <w:tmpl w:val="B9E417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8382F"/>
    <w:multiLevelType w:val="hybridMultilevel"/>
    <w:tmpl w:val="4F223876"/>
    <w:lvl w:ilvl="0" w:tplc="04100001">
      <w:start w:val="1"/>
      <w:numFmt w:val="bullet"/>
      <w:lvlText w:val=""/>
      <w:lvlJc w:val="left"/>
      <w:pPr>
        <w:ind w:left="23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0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88" w:hanging="360"/>
      </w:pPr>
      <w:rPr>
        <w:rFonts w:ascii="Wingdings" w:hAnsi="Wingdings" w:hint="default"/>
      </w:rPr>
    </w:lvl>
  </w:abstractNum>
  <w:abstractNum w:abstractNumId="4" w15:restartNumberingAfterBreak="0">
    <w:nsid w:val="44180EBF"/>
    <w:multiLevelType w:val="hybridMultilevel"/>
    <w:tmpl w:val="D86E7208"/>
    <w:lvl w:ilvl="0" w:tplc="F2A07E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E45E20"/>
    <w:multiLevelType w:val="multilevel"/>
    <w:tmpl w:val="5CDA7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9222518"/>
    <w:multiLevelType w:val="multilevel"/>
    <w:tmpl w:val="A0AA36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6007D4"/>
    <w:multiLevelType w:val="hybridMultilevel"/>
    <w:tmpl w:val="0B0042B6"/>
    <w:lvl w:ilvl="0" w:tplc="7980A3D8">
      <w:numFmt w:val="bullet"/>
      <w:lvlText w:val="-"/>
      <w:lvlJc w:val="left"/>
      <w:pPr>
        <w:ind w:left="1363" w:hanging="360"/>
      </w:pPr>
      <w:rPr>
        <w:rFonts w:ascii="Calibri" w:eastAsia="Titillium-Light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8" w15:restartNumberingAfterBreak="0">
    <w:nsid w:val="73960C7F"/>
    <w:multiLevelType w:val="multilevel"/>
    <w:tmpl w:val="35183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0354B6"/>
    <w:multiLevelType w:val="hybridMultilevel"/>
    <w:tmpl w:val="490C9D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624071">
    <w:abstractNumId w:val="3"/>
  </w:num>
  <w:num w:numId="2" w16cid:durableId="1126198809">
    <w:abstractNumId w:val="7"/>
  </w:num>
  <w:num w:numId="3" w16cid:durableId="1936084546">
    <w:abstractNumId w:val="6"/>
  </w:num>
  <w:num w:numId="4" w16cid:durableId="2033678822">
    <w:abstractNumId w:val="5"/>
  </w:num>
  <w:num w:numId="5" w16cid:durableId="825630534">
    <w:abstractNumId w:val="0"/>
  </w:num>
  <w:num w:numId="6" w16cid:durableId="586380169">
    <w:abstractNumId w:val="8"/>
  </w:num>
  <w:num w:numId="7" w16cid:durableId="613174840">
    <w:abstractNumId w:val="9"/>
  </w:num>
  <w:num w:numId="8" w16cid:durableId="1452507060">
    <w:abstractNumId w:val="4"/>
  </w:num>
  <w:num w:numId="9" w16cid:durableId="1299143234">
    <w:abstractNumId w:val="2"/>
  </w:num>
  <w:num w:numId="10" w16cid:durableId="2031449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2C9"/>
    <w:rsid w:val="00015746"/>
    <w:rsid w:val="0003457A"/>
    <w:rsid w:val="00037440"/>
    <w:rsid w:val="0004107A"/>
    <w:rsid w:val="00044059"/>
    <w:rsid w:val="000446DC"/>
    <w:rsid w:val="00046108"/>
    <w:rsid w:val="00052C66"/>
    <w:rsid w:val="000579C6"/>
    <w:rsid w:val="00062DCA"/>
    <w:rsid w:val="000664C4"/>
    <w:rsid w:val="00067627"/>
    <w:rsid w:val="0007399B"/>
    <w:rsid w:val="000749A5"/>
    <w:rsid w:val="000757B8"/>
    <w:rsid w:val="00076EDC"/>
    <w:rsid w:val="0008604B"/>
    <w:rsid w:val="00091176"/>
    <w:rsid w:val="00097149"/>
    <w:rsid w:val="000A035A"/>
    <w:rsid w:val="000A3720"/>
    <w:rsid w:val="000A477E"/>
    <w:rsid w:val="000A62FD"/>
    <w:rsid w:val="000B12CA"/>
    <w:rsid w:val="000B32BB"/>
    <w:rsid w:val="000B633C"/>
    <w:rsid w:val="000B7573"/>
    <w:rsid w:val="000C0EF1"/>
    <w:rsid w:val="000C30D2"/>
    <w:rsid w:val="000C39F3"/>
    <w:rsid w:val="000D002A"/>
    <w:rsid w:val="000D4500"/>
    <w:rsid w:val="000D6917"/>
    <w:rsid w:val="000E2322"/>
    <w:rsid w:val="000F132A"/>
    <w:rsid w:val="000F2648"/>
    <w:rsid w:val="000F5B8D"/>
    <w:rsid w:val="00107E49"/>
    <w:rsid w:val="001164D2"/>
    <w:rsid w:val="001240CE"/>
    <w:rsid w:val="00133076"/>
    <w:rsid w:val="001339A3"/>
    <w:rsid w:val="00140420"/>
    <w:rsid w:val="001445ED"/>
    <w:rsid w:val="001447D5"/>
    <w:rsid w:val="0015000F"/>
    <w:rsid w:val="0015064B"/>
    <w:rsid w:val="00162258"/>
    <w:rsid w:val="00166618"/>
    <w:rsid w:val="00171708"/>
    <w:rsid w:val="0017299A"/>
    <w:rsid w:val="00177176"/>
    <w:rsid w:val="00191203"/>
    <w:rsid w:val="00194342"/>
    <w:rsid w:val="00194CA2"/>
    <w:rsid w:val="001953E9"/>
    <w:rsid w:val="00197FA2"/>
    <w:rsid w:val="001B1AC6"/>
    <w:rsid w:val="001C753B"/>
    <w:rsid w:val="001D0B1D"/>
    <w:rsid w:val="001E1EF8"/>
    <w:rsid w:val="001E5EA9"/>
    <w:rsid w:val="002027D3"/>
    <w:rsid w:val="00205C2E"/>
    <w:rsid w:val="00207BFA"/>
    <w:rsid w:val="0021020A"/>
    <w:rsid w:val="0021473F"/>
    <w:rsid w:val="0021688A"/>
    <w:rsid w:val="00216F5B"/>
    <w:rsid w:val="00221322"/>
    <w:rsid w:val="00222953"/>
    <w:rsid w:val="00224ED2"/>
    <w:rsid w:val="00240861"/>
    <w:rsid w:val="00245639"/>
    <w:rsid w:val="00246448"/>
    <w:rsid w:val="0025394C"/>
    <w:rsid w:val="00256B6D"/>
    <w:rsid w:val="002618A3"/>
    <w:rsid w:val="002660CA"/>
    <w:rsid w:val="002664ED"/>
    <w:rsid w:val="00273232"/>
    <w:rsid w:val="00273914"/>
    <w:rsid w:val="00275685"/>
    <w:rsid w:val="00276F53"/>
    <w:rsid w:val="00282EA1"/>
    <w:rsid w:val="00283E5A"/>
    <w:rsid w:val="00292959"/>
    <w:rsid w:val="00292BAC"/>
    <w:rsid w:val="00295A92"/>
    <w:rsid w:val="002A1DBF"/>
    <w:rsid w:val="002A388C"/>
    <w:rsid w:val="002B147A"/>
    <w:rsid w:val="002B3C15"/>
    <w:rsid w:val="002C03AE"/>
    <w:rsid w:val="002C2015"/>
    <w:rsid w:val="002C3528"/>
    <w:rsid w:val="002D1C3B"/>
    <w:rsid w:val="002D4DED"/>
    <w:rsid w:val="00305545"/>
    <w:rsid w:val="0030599F"/>
    <w:rsid w:val="003105BB"/>
    <w:rsid w:val="00311D78"/>
    <w:rsid w:val="00317426"/>
    <w:rsid w:val="0033313C"/>
    <w:rsid w:val="003373CB"/>
    <w:rsid w:val="00344300"/>
    <w:rsid w:val="00356572"/>
    <w:rsid w:val="00356658"/>
    <w:rsid w:val="00360F05"/>
    <w:rsid w:val="003647FA"/>
    <w:rsid w:val="003671B1"/>
    <w:rsid w:val="0038166A"/>
    <w:rsid w:val="00387910"/>
    <w:rsid w:val="0039384B"/>
    <w:rsid w:val="003A31AC"/>
    <w:rsid w:val="003B4E50"/>
    <w:rsid w:val="003B59D7"/>
    <w:rsid w:val="003B666F"/>
    <w:rsid w:val="003D0434"/>
    <w:rsid w:val="003D5EF4"/>
    <w:rsid w:val="003D62C8"/>
    <w:rsid w:val="003D7CF4"/>
    <w:rsid w:val="003E6D01"/>
    <w:rsid w:val="003F6543"/>
    <w:rsid w:val="00401C8C"/>
    <w:rsid w:val="00420238"/>
    <w:rsid w:val="00424415"/>
    <w:rsid w:val="004312FC"/>
    <w:rsid w:val="00450C73"/>
    <w:rsid w:val="00466366"/>
    <w:rsid w:val="004667AC"/>
    <w:rsid w:val="0048748C"/>
    <w:rsid w:val="00491D35"/>
    <w:rsid w:val="004A283A"/>
    <w:rsid w:val="004A284D"/>
    <w:rsid w:val="004A59E3"/>
    <w:rsid w:val="004A5DDC"/>
    <w:rsid w:val="004B0EB1"/>
    <w:rsid w:val="004C42DF"/>
    <w:rsid w:val="004C4486"/>
    <w:rsid w:val="004C4BD8"/>
    <w:rsid w:val="004D3454"/>
    <w:rsid w:val="004E42D5"/>
    <w:rsid w:val="004F2260"/>
    <w:rsid w:val="004F2432"/>
    <w:rsid w:val="004F7EB7"/>
    <w:rsid w:val="00500C57"/>
    <w:rsid w:val="00503E61"/>
    <w:rsid w:val="00507D04"/>
    <w:rsid w:val="00517014"/>
    <w:rsid w:val="00524696"/>
    <w:rsid w:val="00525339"/>
    <w:rsid w:val="00527070"/>
    <w:rsid w:val="00527463"/>
    <w:rsid w:val="005317E2"/>
    <w:rsid w:val="00545FCA"/>
    <w:rsid w:val="00566310"/>
    <w:rsid w:val="00566F41"/>
    <w:rsid w:val="00571357"/>
    <w:rsid w:val="00571ADD"/>
    <w:rsid w:val="00571D6B"/>
    <w:rsid w:val="00573109"/>
    <w:rsid w:val="00583F63"/>
    <w:rsid w:val="005954A6"/>
    <w:rsid w:val="0059582B"/>
    <w:rsid w:val="005A7F23"/>
    <w:rsid w:val="005B2ED2"/>
    <w:rsid w:val="005B6049"/>
    <w:rsid w:val="005C43D4"/>
    <w:rsid w:val="005C47EE"/>
    <w:rsid w:val="005C7C73"/>
    <w:rsid w:val="005D2CE2"/>
    <w:rsid w:val="005D3F9C"/>
    <w:rsid w:val="005E2CC6"/>
    <w:rsid w:val="005E78BC"/>
    <w:rsid w:val="005F1739"/>
    <w:rsid w:val="005F7B41"/>
    <w:rsid w:val="00610DDE"/>
    <w:rsid w:val="0061354B"/>
    <w:rsid w:val="0061654F"/>
    <w:rsid w:val="00617FA4"/>
    <w:rsid w:val="00622F16"/>
    <w:rsid w:val="00623AA7"/>
    <w:rsid w:val="0062717D"/>
    <w:rsid w:val="0063052F"/>
    <w:rsid w:val="00631E83"/>
    <w:rsid w:val="006330F4"/>
    <w:rsid w:val="006352B8"/>
    <w:rsid w:val="006373A7"/>
    <w:rsid w:val="006406E7"/>
    <w:rsid w:val="00640E37"/>
    <w:rsid w:val="00654F8E"/>
    <w:rsid w:val="00655D0A"/>
    <w:rsid w:val="00657CA1"/>
    <w:rsid w:val="006615DD"/>
    <w:rsid w:val="006657D1"/>
    <w:rsid w:val="00665AEE"/>
    <w:rsid w:val="006823CE"/>
    <w:rsid w:val="00691132"/>
    <w:rsid w:val="00696B70"/>
    <w:rsid w:val="006A1CD4"/>
    <w:rsid w:val="006B3F72"/>
    <w:rsid w:val="006D24D4"/>
    <w:rsid w:val="006D4A8A"/>
    <w:rsid w:val="006D7B77"/>
    <w:rsid w:val="0070469C"/>
    <w:rsid w:val="007068AC"/>
    <w:rsid w:val="0071649E"/>
    <w:rsid w:val="00722656"/>
    <w:rsid w:val="00724E30"/>
    <w:rsid w:val="00735DE9"/>
    <w:rsid w:val="0074020D"/>
    <w:rsid w:val="00740642"/>
    <w:rsid w:val="0074320D"/>
    <w:rsid w:val="007460CA"/>
    <w:rsid w:val="007476B6"/>
    <w:rsid w:val="00757A46"/>
    <w:rsid w:val="00760D60"/>
    <w:rsid w:val="0077220A"/>
    <w:rsid w:val="007A2B73"/>
    <w:rsid w:val="007A6F2F"/>
    <w:rsid w:val="007B129F"/>
    <w:rsid w:val="007B2E94"/>
    <w:rsid w:val="007B38EC"/>
    <w:rsid w:val="007B485E"/>
    <w:rsid w:val="007C5469"/>
    <w:rsid w:val="007C628E"/>
    <w:rsid w:val="007D6F71"/>
    <w:rsid w:val="007E6B8D"/>
    <w:rsid w:val="007F38BA"/>
    <w:rsid w:val="007F6678"/>
    <w:rsid w:val="0080743F"/>
    <w:rsid w:val="00810DCF"/>
    <w:rsid w:val="00815DE2"/>
    <w:rsid w:val="008219A8"/>
    <w:rsid w:val="00842CAA"/>
    <w:rsid w:val="00862009"/>
    <w:rsid w:val="008661CF"/>
    <w:rsid w:val="008725CF"/>
    <w:rsid w:val="00875B01"/>
    <w:rsid w:val="0088087D"/>
    <w:rsid w:val="00883F70"/>
    <w:rsid w:val="008911C2"/>
    <w:rsid w:val="0089402F"/>
    <w:rsid w:val="00897663"/>
    <w:rsid w:val="008A0541"/>
    <w:rsid w:val="008A17A7"/>
    <w:rsid w:val="008A5E95"/>
    <w:rsid w:val="008B423E"/>
    <w:rsid w:val="008B588A"/>
    <w:rsid w:val="008B7759"/>
    <w:rsid w:val="008C34A2"/>
    <w:rsid w:val="008D17AE"/>
    <w:rsid w:val="008D2960"/>
    <w:rsid w:val="008E2C22"/>
    <w:rsid w:val="008F0447"/>
    <w:rsid w:val="00904E35"/>
    <w:rsid w:val="00907115"/>
    <w:rsid w:val="009074BE"/>
    <w:rsid w:val="0091079B"/>
    <w:rsid w:val="00912543"/>
    <w:rsid w:val="00912AA0"/>
    <w:rsid w:val="00913A38"/>
    <w:rsid w:val="00920EA6"/>
    <w:rsid w:val="0092582F"/>
    <w:rsid w:val="0094555D"/>
    <w:rsid w:val="009544AC"/>
    <w:rsid w:val="009554BE"/>
    <w:rsid w:val="00955705"/>
    <w:rsid w:val="00964CD6"/>
    <w:rsid w:val="00967170"/>
    <w:rsid w:val="00974E3A"/>
    <w:rsid w:val="0098732D"/>
    <w:rsid w:val="0099215E"/>
    <w:rsid w:val="00996849"/>
    <w:rsid w:val="009A1C62"/>
    <w:rsid w:val="009A2316"/>
    <w:rsid w:val="009B0CEE"/>
    <w:rsid w:val="009B42A8"/>
    <w:rsid w:val="009B58EB"/>
    <w:rsid w:val="009D2C1E"/>
    <w:rsid w:val="009D6561"/>
    <w:rsid w:val="009D7FDA"/>
    <w:rsid w:val="009F4F64"/>
    <w:rsid w:val="009F5206"/>
    <w:rsid w:val="00A0477E"/>
    <w:rsid w:val="00A14755"/>
    <w:rsid w:val="00A16684"/>
    <w:rsid w:val="00A16FC0"/>
    <w:rsid w:val="00A175D1"/>
    <w:rsid w:val="00A2125E"/>
    <w:rsid w:val="00A23D96"/>
    <w:rsid w:val="00A23DD6"/>
    <w:rsid w:val="00A2445C"/>
    <w:rsid w:val="00A27671"/>
    <w:rsid w:val="00A30744"/>
    <w:rsid w:val="00A3434C"/>
    <w:rsid w:val="00A45F18"/>
    <w:rsid w:val="00A56534"/>
    <w:rsid w:val="00A71DC8"/>
    <w:rsid w:val="00A7680B"/>
    <w:rsid w:val="00A81C1F"/>
    <w:rsid w:val="00A8338A"/>
    <w:rsid w:val="00A842B6"/>
    <w:rsid w:val="00A84BED"/>
    <w:rsid w:val="00A93EE5"/>
    <w:rsid w:val="00AA2F86"/>
    <w:rsid w:val="00AB0160"/>
    <w:rsid w:val="00AB4A57"/>
    <w:rsid w:val="00AB7C3C"/>
    <w:rsid w:val="00AE24C2"/>
    <w:rsid w:val="00AF1CA7"/>
    <w:rsid w:val="00AF7DE1"/>
    <w:rsid w:val="00B02B5B"/>
    <w:rsid w:val="00B17AC5"/>
    <w:rsid w:val="00B35694"/>
    <w:rsid w:val="00B40475"/>
    <w:rsid w:val="00B412C9"/>
    <w:rsid w:val="00B43793"/>
    <w:rsid w:val="00B569B3"/>
    <w:rsid w:val="00B5714A"/>
    <w:rsid w:val="00B66093"/>
    <w:rsid w:val="00B70EE7"/>
    <w:rsid w:val="00B77755"/>
    <w:rsid w:val="00B81084"/>
    <w:rsid w:val="00B81340"/>
    <w:rsid w:val="00B926C8"/>
    <w:rsid w:val="00B97296"/>
    <w:rsid w:val="00BA11DB"/>
    <w:rsid w:val="00BA4917"/>
    <w:rsid w:val="00BB1DDD"/>
    <w:rsid w:val="00BB6580"/>
    <w:rsid w:val="00BC6184"/>
    <w:rsid w:val="00BC66E1"/>
    <w:rsid w:val="00BF53D5"/>
    <w:rsid w:val="00BF738B"/>
    <w:rsid w:val="00C01E08"/>
    <w:rsid w:val="00C10866"/>
    <w:rsid w:val="00C12626"/>
    <w:rsid w:val="00C15B98"/>
    <w:rsid w:val="00C23951"/>
    <w:rsid w:val="00C26F4D"/>
    <w:rsid w:val="00C3453B"/>
    <w:rsid w:val="00C42418"/>
    <w:rsid w:val="00C45EDE"/>
    <w:rsid w:val="00C619FE"/>
    <w:rsid w:val="00C72154"/>
    <w:rsid w:val="00C822C8"/>
    <w:rsid w:val="00C87441"/>
    <w:rsid w:val="00C95FA1"/>
    <w:rsid w:val="00CA37D2"/>
    <w:rsid w:val="00CB7EEC"/>
    <w:rsid w:val="00CD06E9"/>
    <w:rsid w:val="00CD0944"/>
    <w:rsid w:val="00CD36CF"/>
    <w:rsid w:val="00CE4ED2"/>
    <w:rsid w:val="00CF44D5"/>
    <w:rsid w:val="00CF75A4"/>
    <w:rsid w:val="00D001A9"/>
    <w:rsid w:val="00D0400E"/>
    <w:rsid w:val="00D06771"/>
    <w:rsid w:val="00D126A5"/>
    <w:rsid w:val="00D14836"/>
    <w:rsid w:val="00D15E06"/>
    <w:rsid w:val="00D15E86"/>
    <w:rsid w:val="00D26357"/>
    <w:rsid w:val="00D317F5"/>
    <w:rsid w:val="00D342AB"/>
    <w:rsid w:val="00D45BAA"/>
    <w:rsid w:val="00D45C15"/>
    <w:rsid w:val="00D53E37"/>
    <w:rsid w:val="00D54958"/>
    <w:rsid w:val="00D73B6E"/>
    <w:rsid w:val="00D762AA"/>
    <w:rsid w:val="00D77A58"/>
    <w:rsid w:val="00D8079C"/>
    <w:rsid w:val="00D82DB7"/>
    <w:rsid w:val="00D87CF8"/>
    <w:rsid w:val="00DA1A72"/>
    <w:rsid w:val="00DB235F"/>
    <w:rsid w:val="00DC37A1"/>
    <w:rsid w:val="00DC7B32"/>
    <w:rsid w:val="00DD0DA7"/>
    <w:rsid w:val="00DD4674"/>
    <w:rsid w:val="00DD4B36"/>
    <w:rsid w:val="00DE223F"/>
    <w:rsid w:val="00DF428D"/>
    <w:rsid w:val="00DF4931"/>
    <w:rsid w:val="00DF6912"/>
    <w:rsid w:val="00DF7821"/>
    <w:rsid w:val="00E04682"/>
    <w:rsid w:val="00E11448"/>
    <w:rsid w:val="00E12F14"/>
    <w:rsid w:val="00E13BA4"/>
    <w:rsid w:val="00E14C79"/>
    <w:rsid w:val="00E16AC6"/>
    <w:rsid w:val="00E20C53"/>
    <w:rsid w:val="00E2170F"/>
    <w:rsid w:val="00E23815"/>
    <w:rsid w:val="00E36646"/>
    <w:rsid w:val="00E46DF4"/>
    <w:rsid w:val="00E51C70"/>
    <w:rsid w:val="00E5262E"/>
    <w:rsid w:val="00E53CFF"/>
    <w:rsid w:val="00E5645B"/>
    <w:rsid w:val="00E721EB"/>
    <w:rsid w:val="00E7302A"/>
    <w:rsid w:val="00E7403C"/>
    <w:rsid w:val="00E747E9"/>
    <w:rsid w:val="00E8149F"/>
    <w:rsid w:val="00E9038C"/>
    <w:rsid w:val="00E92F75"/>
    <w:rsid w:val="00E93FDF"/>
    <w:rsid w:val="00EA523F"/>
    <w:rsid w:val="00EA5A6B"/>
    <w:rsid w:val="00EC4F7F"/>
    <w:rsid w:val="00EC6CF7"/>
    <w:rsid w:val="00ED3AEE"/>
    <w:rsid w:val="00EE1B8D"/>
    <w:rsid w:val="00EE3F8C"/>
    <w:rsid w:val="00EF34AC"/>
    <w:rsid w:val="00EF63A5"/>
    <w:rsid w:val="00F05FF2"/>
    <w:rsid w:val="00F16658"/>
    <w:rsid w:val="00F22492"/>
    <w:rsid w:val="00F425A9"/>
    <w:rsid w:val="00F45CDC"/>
    <w:rsid w:val="00F46929"/>
    <w:rsid w:val="00F5321D"/>
    <w:rsid w:val="00F603E5"/>
    <w:rsid w:val="00F62AA9"/>
    <w:rsid w:val="00F65FC4"/>
    <w:rsid w:val="00F753B7"/>
    <w:rsid w:val="00F84AE2"/>
    <w:rsid w:val="00F9245E"/>
    <w:rsid w:val="00F92B8A"/>
    <w:rsid w:val="00F93A03"/>
    <w:rsid w:val="00F96162"/>
    <w:rsid w:val="00FA587C"/>
    <w:rsid w:val="00FB4898"/>
    <w:rsid w:val="00FB6A31"/>
    <w:rsid w:val="00FC50C0"/>
    <w:rsid w:val="00FD7A38"/>
    <w:rsid w:val="00FE73A7"/>
    <w:rsid w:val="00FF103F"/>
    <w:rsid w:val="00FF4172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B98843"/>
  <w15:docId w15:val="{31940A93-27D9-47DD-A8B9-42F0D846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tillium-Light" w:eastAsia="Titillium-Light" w:hAnsi="Titillium-Light" w:cs="Titillium-Light"/>
      <w:lang w:val="it-IT"/>
    </w:rPr>
  </w:style>
  <w:style w:type="paragraph" w:styleId="Titolo1">
    <w:name w:val="heading 1"/>
    <w:basedOn w:val="Normale"/>
    <w:next w:val="Normale"/>
    <w:link w:val="Titolo1Carattere"/>
    <w:qFormat/>
    <w:rsid w:val="009B0CEE"/>
    <w:pPr>
      <w:keepNext/>
      <w:widowControl/>
      <w:autoSpaceDE/>
      <w:autoSpaceDN/>
      <w:jc w:val="right"/>
      <w:outlineLvl w:val="0"/>
    </w:pPr>
    <w:rPr>
      <w:rFonts w:ascii="English157 BT" w:eastAsia="Times New Roman" w:hAnsi="English157 BT" w:cs="Times New Roman"/>
      <w:sz w:val="24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27568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38"/>
      <w:ind w:left="20"/>
    </w:pPr>
    <w:rPr>
      <w:sz w:val="15"/>
      <w:szCs w:val="15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3E5"/>
    <w:rPr>
      <w:rFonts w:ascii="Titillium-Light" w:eastAsia="Titillium-Light" w:hAnsi="Titillium-Light" w:cs="Titillium-Light"/>
    </w:rPr>
  </w:style>
  <w:style w:type="paragraph" w:styleId="Pidipagina">
    <w:name w:val="footer"/>
    <w:basedOn w:val="Normale"/>
    <w:link w:val="PidipaginaCarattere"/>
    <w:uiPriority w:val="99"/>
    <w:unhideWhenUsed/>
    <w:rsid w:val="00F603E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603E5"/>
    <w:rPr>
      <w:rFonts w:ascii="Titillium-Light" w:eastAsia="Titillium-Light" w:hAnsi="Titillium-Light" w:cs="Titillium-Ligh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603E5"/>
    <w:rPr>
      <w:rFonts w:ascii="Titillium-Light" w:eastAsia="Titillium-Light" w:hAnsi="Titillium-Light" w:cs="Titillium-Light"/>
      <w:sz w:val="15"/>
      <w:szCs w:val="15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532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5321D"/>
    <w:rPr>
      <w:rFonts w:ascii="Tahoma" w:eastAsia="Titillium-Light" w:hAnsi="Tahoma" w:cs="Tahoma"/>
      <w:sz w:val="16"/>
      <w:szCs w:val="16"/>
      <w:lang w:val="it-IT"/>
    </w:r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9B0CEE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9B0CEE"/>
    <w:rPr>
      <w:rFonts w:ascii="Titillium-Light" w:eastAsia="Titillium-Light" w:hAnsi="Titillium-Light" w:cs="Titillium-Light"/>
      <w:lang w:val="it-IT"/>
    </w:rPr>
  </w:style>
  <w:style w:type="character" w:customStyle="1" w:styleId="Titolo1Carattere">
    <w:name w:val="Titolo 1 Carattere"/>
    <w:basedOn w:val="Carpredefinitoparagrafo"/>
    <w:link w:val="Titolo1"/>
    <w:rsid w:val="009B0CEE"/>
    <w:rPr>
      <w:rFonts w:ascii="English157 BT" w:eastAsia="Times New Roman" w:hAnsi="English157 BT" w:cs="Times New Roman"/>
      <w:sz w:val="24"/>
      <w:szCs w:val="20"/>
      <w:lang w:val="it-IT" w:eastAsia="it-IT"/>
    </w:rPr>
  </w:style>
  <w:style w:type="table" w:styleId="Grigliatabella">
    <w:name w:val="Table Grid"/>
    <w:basedOn w:val="Tabellanormale"/>
    <w:uiPriority w:val="59"/>
    <w:rsid w:val="009B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26357"/>
    <w:rPr>
      <w:color w:val="0000FF" w:themeColor="hyperlink"/>
      <w:u w:val="single"/>
    </w:rPr>
  </w:style>
  <w:style w:type="paragraph" w:styleId="Corpodeltesto3">
    <w:name w:val="Body Text 3"/>
    <w:basedOn w:val="Normale"/>
    <w:link w:val="Corpodeltesto3Carattere"/>
    <w:uiPriority w:val="99"/>
    <w:unhideWhenUsed/>
    <w:rsid w:val="009D656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9D6561"/>
    <w:rPr>
      <w:rFonts w:ascii="Titillium-Light" w:eastAsia="Titillium-Light" w:hAnsi="Titillium-Light" w:cs="Titillium-Light"/>
      <w:sz w:val="16"/>
      <w:szCs w:val="16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4020D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EF34AC"/>
    <w:rPr>
      <w:b/>
      <w:bCs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27568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it-IT"/>
    </w:rPr>
  </w:style>
  <w:style w:type="paragraph" w:styleId="NormaleWeb">
    <w:name w:val="Normal (Web)"/>
    <w:basedOn w:val="Normale"/>
    <w:uiPriority w:val="99"/>
    <w:semiHidden/>
    <w:unhideWhenUsed/>
    <w:rsid w:val="0027568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'[Grafico in Microsoft Word]Foglio1'!$B$1</c:f>
              <c:strCache>
                <c:ptCount val="1"/>
                <c:pt idx="0">
                  <c:v>settori merceologici 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73-411C-957B-81AA2A66A924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73-411C-957B-81AA2A66A924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73-411C-957B-81AA2A66A924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73-411C-957B-81AA2A66A924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AD73-411C-957B-81AA2A66A924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AD73-411C-957B-81AA2A66A924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AD73-411C-957B-81AA2A66A924}"/>
              </c:ext>
            </c:extLst>
          </c:dPt>
          <c:cat>
            <c:strRef>
              <c:f>'[Grafico in Microsoft Word]Foglio1'!$A$2:$A$8</c:f>
              <c:strCache>
                <c:ptCount val="7"/>
                <c:pt idx="0">
                  <c:v>Agricoltura </c:v>
                </c:pt>
                <c:pt idx="1">
                  <c:v>Attività manifatturiera </c:v>
                </c:pt>
                <c:pt idx="2">
                  <c:v>Edilizia</c:v>
                </c:pt>
                <c:pt idx="3">
                  <c:v>Commercio </c:v>
                </c:pt>
                <c:pt idx="4">
                  <c:v>Trasporto e logistica </c:v>
                </c:pt>
                <c:pt idx="5">
                  <c:v>Servizi di alloggio e ristorazione</c:v>
                </c:pt>
                <c:pt idx="6">
                  <c:v>altro</c:v>
                </c:pt>
              </c:strCache>
            </c:strRef>
          </c:cat>
          <c:val>
            <c:numRef>
              <c:f>'[Grafico in Microsoft Word]Foglio1'!$B$2:$B$8</c:f>
              <c:numCache>
                <c:formatCode>0.00%</c:formatCode>
                <c:ptCount val="7"/>
                <c:pt idx="0">
                  <c:v>8.4500000000000006E-2</c:v>
                </c:pt>
                <c:pt idx="1">
                  <c:v>7.8700000000000006E-2</c:v>
                </c:pt>
                <c:pt idx="2">
                  <c:v>0.20430000000000001</c:v>
                </c:pt>
                <c:pt idx="3">
                  <c:v>0.29149999999999998</c:v>
                </c:pt>
                <c:pt idx="4">
                  <c:v>0.16619999999999999</c:v>
                </c:pt>
                <c:pt idx="5">
                  <c:v>0.1691</c:v>
                </c:pt>
                <c:pt idx="6">
                  <c:v>5.7000000000000002E-3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AD73-411C-957B-81AA2A66A9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CB513-5D0D-4CC4-BAB3-0B17C671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6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 Lavoro e delle Politiche Sociali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ITL Piacenza</dc:creator>
  <cp:lastModifiedBy>Maddaloni Luigi</cp:lastModifiedBy>
  <cp:revision>26</cp:revision>
  <cp:lastPrinted>2025-01-22T11:47:00Z</cp:lastPrinted>
  <dcterms:created xsi:type="dcterms:W3CDTF">2025-01-23T17:53:00Z</dcterms:created>
  <dcterms:modified xsi:type="dcterms:W3CDTF">2025-01-31T12:17:00Z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2016-10-24T00:00:00Z</vt:filetime>
  </property>
</Properties>
</file>