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6CFB" w14:textId="77777777" w:rsidR="00A44FF9" w:rsidRDefault="00A44FF9">
      <w:pPr>
        <w:spacing w:line="360" w:lineRule="auto"/>
        <w:rPr>
          <w:rFonts w:ascii="Garamond" w:eastAsia="Garamond" w:hAnsi="Garamond" w:cs="Garamond"/>
        </w:rPr>
      </w:pPr>
    </w:p>
    <w:p w14:paraId="3F97D737" w14:textId="77777777" w:rsidR="00A44FF9" w:rsidRDefault="0094513D">
      <w:pPr>
        <w:spacing w:line="360" w:lineRule="auto"/>
        <w:jc w:val="center"/>
        <w:rPr>
          <w:rFonts w:ascii="Garamond" w:eastAsia="Garamond" w:hAnsi="Garamond" w:cs="Garamond"/>
          <w:sz w:val="36"/>
          <w:szCs w:val="36"/>
        </w:rPr>
      </w:pPr>
      <w:r>
        <w:rPr>
          <w:rFonts w:ascii="Garamond" w:eastAsia="Garamond" w:hAnsi="Garamond" w:cs="Garamond"/>
          <w:sz w:val="36"/>
          <w:szCs w:val="36"/>
        </w:rPr>
        <w:t>COMUNICATO STAMPA</w:t>
      </w:r>
    </w:p>
    <w:p w14:paraId="3F28208A" w14:textId="77777777" w:rsidR="00A44FF9" w:rsidRDefault="0094513D">
      <w:pPr>
        <w:spacing w:line="360" w:lineRule="auto"/>
        <w:ind w:firstLine="454"/>
        <w:jc w:val="both"/>
        <w:rPr>
          <w:rFonts w:ascii="Garamond" w:eastAsia="Garamond" w:hAnsi="Garamond" w:cs="Garamond"/>
        </w:rPr>
      </w:pPr>
      <w:r>
        <w:rPr>
          <w:rFonts w:ascii="Garamond" w:eastAsia="Garamond" w:hAnsi="Garamond" w:cs="Garamond"/>
        </w:rPr>
        <w:t>Proseguono i servizi straordinari di prevenzione e controllo del territorio, disposti dal Prefetto Daniella Lupo nell’ambito del Comitato provinciale per l’Ordine e la Sicurezza Pubblica, d’intesa con i vertici provinciali delle Forze di Polizia, il Presidente della Provincia e il Sindaco del Comune di Piacenza.</w:t>
      </w:r>
    </w:p>
    <w:p w14:paraId="01751385" w14:textId="77777777" w:rsidR="00A44FF9" w:rsidRDefault="0094513D">
      <w:pPr>
        <w:spacing w:line="360" w:lineRule="auto"/>
        <w:ind w:firstLine="454"/>
        <w:jc w:val="both"/>
        <w:rPr>
          <w:rFonts w:ascii="Garamond" w:eastAsia="Garamond" w:hAnsi="Garamond" w:cs="Garamond"/>
        </w:rPr>
      </w:pPr>
      <w:r>
        <w:rPr>
          <w:rFonts w:ascii="Garamond" w:eastAsia="Garamond" w:hAnsi="Garamond" w:cs="Garamond"/>
        </w:rPr>
        <w:t xml:space="preserve">Nel mese di aprile 2023 le Forze dell’Ordine hanno effettuato n. 16 servizi straordinari di controllo del territorio, in concorso con le Specialità, che hanno riguardato - nel Capoluogo -  le zone di via Emilia Pavese, via Emilia Parmense, viale Sant’Ambrogio, via IV Novembre e via Landi, servizi antidroga anche con l’ausilio delle unità cinofile presso istituti scolastici, la Stazione ferroviaria, i Giardini Margherita e le aree abbandonate a ridosso di via Nino Bixio nonché il controllo di esercizi commerciali per la somministrazione di alimenti e bevande anche nei Comuni di Castel San Giovanni e Borgonovo Val Tidone. </w:t>
      </w:r>
    </w:p>
    <w:p w14:paraId="037A9070" w14:textId="77777777" w:rsidR="00A44FF9" w:rsidRDefault="0094513D">
      <w:pPr>
        <w:spacing w:line="360" w:lineRule="auto"/>
        <w:ind w:firstLine="454"/>
        <w:jc w:val="both"/>
        <w:rPr>
          <w:rFonts w:ascii="Garamond" w:eastAsia="Garamond" w:hAnsi="Garamond" w:cs="Garamond"/>
        </w:rPr>
      </w:pPr>
      <w:r>
        <w:rPr>
          <w:rFonts w:ascii="Garamond" w:eastAsia="Garamond" w:hAnsi="Garamond" w:cs="Garamond"/>
        </w:rPr>
        <w:t>Continuano i controlli anche a bar/tabacchi, sale giochi e slot, con i relativi avventori.</w:t>
      </w:r>
    </w:p>
    <w:p w14:paraId="1003D83B" w14:textId="77777777" w:rsidR="00A44FF9" w:rsidRDefault="0094513D">
      <w:pPr>
        <w:spacing w:line="360" w:lineRule="auto"/>
        <w:ind w:firstLine="454"/>
        <w:jc w:val="both"/>
        <w:rPr>
          <w:rFonts w:ascii="Garamond" w:eastAsia="Garamond" w:hAnsi="Garamond" w:cs="Garamond"/>
        </w:rPr>
      </w:pPr>
      <w:r>
        <w:rPr>
          <w:rFonts w:ascii="Garamond" w:eastAsia="Garamond" w:hAnsi="Garamond" w:cs="Garamond"/>
        </w:rPr>
        <w:t>Di seguito i risultati conseguiti:</w:t>
      </w:r>
    </w:p>
    <w:p w14:paraId="7E8B0F9A"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1.493 controlli nei confronti dei soggetti sottoposti agli obblighi giudiziari;</w:t>
      </w:r>
    </w:p>
    <w:p w14:paraId="37E28269"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197 violazioni del Codice della Strada rilevate: tra le quali n. 32 art. 172 (mancato utilizzo cinture di sicurezza), n. 30 art. 148 (sorpasso in situazione di pericolo), n. 23 art. 80 (omessa revisione periodica veicolo), n. 19 art. 173 (utilizzo del cellulare alla guida);</w:t>
      </w:r>
    </w:p>
    <w:p w14:paraId="07B1BEC1"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 xml:space="preserve">7 denunce ai sensi dell’art. 73 d.P.R. n. 309/90 (spaccio di sostanze stupefacenti); </w:t>
      </w:r>
    </w:p>
    <w:p w14:paraId="48EFA5F7"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38 segnalazioni ai sensi dell’art. 75 d.P.R. n. 309/90 (detenzione di sostanze stupefacenti);</w:t>
      </w:r>
    </w:p>
    <w:p w14:paraId="2CBEC2E2"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39 patenti ritirate;</w:t>
      </w:r>
    </w:p>
    <w:p w14:paraId="2D471CE3"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14 sequestri di veicoli;</w:t>
      </w:r>
    </w:p>
    <w:p w14:paraId="1C2C0091"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6 carte di circolazione ritirate.</w:t>
      </w:r>
    </w:p>
    <w:p w14:paraId="5F1E74D2" w14:textId="77777777" w:rsidR="00A44FF9" w:rsidRDefault="0094513D">
      <w:pPr>
        <w:numPr>
          <w:ilvl w:val="0"/>
          <w:numId w:val="1"/>
        </w:numPr>
        <w:pBdr>
          <w:top w:val="nil"/>
          <w:left w:val="nil"/>
          <w:bottom w:val="nil"/>
          <w:right w:val="nil"/>
          <w:between w:val="nil"/>
        </w:pBdr>
        <w:spacing w:line="360" w:lineRule="auto"/>
        <w:jc w:val="both"/>
        <w:rPr>
          <w:color w:val="1C2024"/>
        </w:rPr>
      </w:pPr>
      <w:r>
        <w:rPr>
          <w:rFonts w:ascii="Garamond" w:eastAsia="Garamond" w:hAnsi="Garamond" w:cs="Garamond"/>
          <w:color w:val="1C2024"/>
        </w:rPr>
        <w:t>89 incidenti stradali rilevati;</w:t>
      </w:r>
      <w:r>
        <w:rPr>
          <w:rFonts w:ascii="Garamond" w:eastAsia="Garamond" w:hAnsi="Garamond" w:cs="Garamond"/>
          <w:color w:val="000000"/>
        </w:rPr>
        <w:t xml:space="preserve"> </w:t>
      </w:r>
    </w:p>
    <w:p w14:paraId="2E747455" w14:textId="77777777" w:rsidR="00A44FF9" w:rsidRDefault="0094513D">
      <w:pPr>
        <w:spacing w:line="360" w:lineRule="auto"/>
        <w:ind w:firstLine="454"/>
        <w:jc w:val="both"/>
        <w:rPr>
          <w:rFonts w:ascii="Garamond" w:eastAsia="Garamond" w:hAnsi="Garamond" w:cs="Garamond"/>
        </w:rPr>
      </w:pPr>
      <w:r>
        <w:rPr>
          <w:rFonts w:ascii="Garamond" w:eastAsia="Garamond" w:hAnsi="Garamond" w:cs="Garamond"/>
        </w:rPr>
        <w:t>Nell’ambito dei piani di intervento a contrasto della contraffazione e abusivismo commerciale, il Comando Provinciale della Guardia di Finanza ha sequestrato n. 1.868 capi di abbigliamento contraffatti per un valore commerciale di mercato pari a euro 113.000.</w:t>
      </w:r>
    </w:p>
    <w:p w14:paraId="449FA4C4" w14:textId="77777777" w:rsidR="00E20C6A" w:rsidRDefault="00E20C6A" w:rsidP="00E20C6A">
      <w:pPr>
        <w:spacing w:line="360" w:lineRule="auto"/>
        <w:ind w:firstLine="454"/>
        <w:jc w:val="both"/>
        <w:rPr>
          <w:rFonts w:ascii="Garamond" w:eastAsia="Garamond" w:hAnsi="Garamond" w:cs="Garamond"/>
        </w:rPr>
      </w:pPr>
      <w:r w:rsidRPr="00E20C6A">
        <w:rPr>
          <w:rFonts w:ascii="Garamond" w:eastAsia="Garamond" w:hAnsi="Garamond" w:cs="Garamond"/>
        </w:rPr>
        <w:t>Nello stesso periodo l’Ufficio Patenti della Prefettura ha emanato complessivamente n.</w:t>
      </w:r>
      <w:r>
        <w:rPr>
          <w:rFonts w:ascii="Garamond" w:eastAsia="Garamond" w:hAnsi="Garamond" w:cs="Garamond"/>
        </w:rPr>
        <w:t xml:space="preserve"> 48 </w:t>
      </w:r>
      <w:r w:rsidRPr="00E20C6A">
        <w:rPr>
          <w:rFonts w:ascii="Garamond" w:eastAsia="Garamond" w:hAnsi="Garamond" w:cs="Garamond"/>
        </w:rPr>
        <w:t>provvedimenti di sospensione</w:t>
      </w:r>
      <w:r>
        <w:rPr>
          <w:rFonts w:ascii="Garamond" w:eastAsia="Garamond" w:hAnsi="Garamond" w:cs="Garamond"/>
        </w:rPr>
        <w:t xml:space="preserve"> e n. 5 di revoca</w:t>
      </w:r>
      <w:r w:rsidRPr="00E20C6A">
        <w:rPr>
          <w:rFonts w:ascii="Garamond" w:eastAsia="Garamond" w:hAnsi="Garamond" w:cs="Garamond"/>
        </w:rPr>
        <w:t xml:space="preserve">, di cui </w:t>
      </w:r>
      <w:r>
        <w:rPr>
          <w:rFonts w:ascii="Garamond" w:eastAsia="Garamond" w:hAnsi="Garamond" w:cs="Garamond"/>
        </w:rPr>
        <w:t xml:space="preserve">rispettivamente </w:t>
      </w:r>
      <w:r w:rsidRPr="00E20C6A">
        <w:rPr>
          <w:rFonts w:ascii="Garamond" w:eastAsia="Garamond" w:hAnsi="Garamond" w:cs="Garamond"/>
        </w:rPr>
        <w:t>n.</w:t>
      </w:r>
      <w:r>
        <w:rPr>
          <w:rFonts w:ascii="Garamond" w:eastAsia="Garamond" w:hAnsi="Garamond" w:cs="Garamond"/>
        </w:rPr>
        <w:t xml:space="preserve"> 8 e n. 2 </w:t>
      </w:r>
      <w:r w:rsidRPr="00E20C6A">
        <w:rPr>
          <w:rFonts w:ascii="Garamond" w:eastAsia="Garamond" w:hAnsi="Garamond" w:cs="Garamond"/>
        </w:rPr>
        <w:t>ai</w:t>
      </w:r>
      <w:r>
        <w:rPr>
          <w:rFonts w:ascii="Garamond" w:eastAsia="Garamond" w:hAnsi="Garamond" w:cs="Garamond"/>
        </w:rPr>
        <w:t xml:space="preserve"> </w:t>
      </w:r>
      <w:r w:rsidRPr="00E20C6A">
        <w:rPr>
          <w:rFonts w:ascii="Garamond" w:eastAsia="Garamond" w:hAnsi="Garamond" w:cs="Garamond"/>
        </w:rPr>
        <w:t>sensi dell’art. 224</w:t>
      </w:r>
      <w:r w:rsidR="00DE508E">
        <w:rPr>
          <w:rFonts w:ascii="Garamond" w:eastAsia="Garamond" w:hAnsi="Garamond" w:cs="Garamond"/>
        </w:rPr>
        <w:t xml:space="preserve"> in esecuzione </w:t>
      </w:r>
      <w:r w:rsidRPr="00E20C6A">
        <w:rPr>
          <w:rFonts w:ascii="Garamond" w:eastAsia="Garamond" w:hAnsi="Garamond" w:cs="Garamond"/>
        </w:rPr>
        <w:t>di sentenza o decreto penale di condanna.</w:t>
      </w:r>
    </w:p>
    <w:p w14:paraId="3B80BC69" w14:textId="77777777" w:rsidR="00E20C6A" w:rsidRDefault="00E20C6A" w:rsidP="00E20C6A">
      <w:pPr>
        <w:spacing w:line="360" w:lineRule="auto"/>
        <w:ind w:firstLine="454"/>
        <w:jc w:val="both"/>
        <w:rPr>
          <w:rFonts w:ascii="Garamond" w:eastAsia="Garamond" w:hAnsi="Garamond" w:cs="Garamond"/>
        </w:rPr>
      </w:pPr>
      <w:r w:rsidRPr="00E20C6A">
        <w:rPr>
          <w:rFonts w:ascii="Garamond" w:eastAsia="Garamond" w:hAnsi="Garamond" w:cs="Garamond"/>
        </w:rPr>
        <w:lastRenderedPageBreak/>
        <w:t>Il Nucleo Operativo Tossicodipendenze della Prefettura ha effettuato</w:t>
      </w:r>
      <w:r>
        <w:rPr>
          <w:rFonts w:ascii="Garamond" w:eastAsia="Garamond" w:hAnsi="Garamond" w:cs="Garamond"/>
        </w:rPr>
        <w:t xml:space="preserve"> </w:t>
      </w:r>
      <w:r w:rsidRPr="00E20C6A">
        <w:rPr>
          <w:rFonts w:ascii="Garamond" w:eastAsia="Garamond" w:hAnsi="Garamond" w:cs="Garamond"/>
        </w:rPr>
        <w:t>n. 3</w:t>
      </w:r>
      <w:r>
        <w:rPr>
          <w:rFonts w:ascii="Garamond" w:eastAsia="Garamond" w:hAnsi="Garamond" w:cs="Garamond"/>
        </w:rPr>
        <w:t xml:space="preserve">0 </w:t>
      </w:r>
      <w:r w:rsidRPr="00E20C6A">
        <w:rPr>
          <w:rFonts w:ascii="Garamond" w:eastAsia="Garamond" w:hAnsi="Garamond" w:cs="Garamond"/>
        </w:rPr>
        <w:t>colloqui e notificato</w:t>
      </w:r>
      <w:r>
        <w:rPr>
          <w:rFonts w:ascii="Garamond" w:eastAsia="Garamond" w:hAnsi="Garamond" w:cs="Garamond"/>
        </w:rPr>
        <w:t xml:space="preserve"> altrettante </w:t>
      </w:r>
      <w:r w:rsidRPr="00E20C6A">
        <w:rPr>
          <w:rFonts w:ascii="Garamond" w:eastAsia="Garamond" w:hAnsi="Garamond" w:cs="Garamond"/>
        </w:rPr>
        <w:t>convocazioni, emanando n.</w:t>
      </w:r>
      <w:r>
        <w:rPr>
          <w:rFonts w:ascii="Garamond" w:eastAsia="Garamond" w:hAnsi="Garamond" w:cs="Garamond"/>
        </w:rPr>
        <w:t xml:space="preserve"> 30 </w:t>
      </w:r>
      <w:r w:rsidRPr="00E20C6A">
        <w:rPr>
          <w:rFonts w:ascii="Garamond" w:eastAsia="Garamond" w:hAnsi="Garamond" w:cs="Garamond"/>
        </w:rPr>
        <w:t>provvedimenti sanzionatori</w:t>
      </w:r>
      <w:r>
        <w:rPr>
          <w:rFonts w:ascii="Garamond" w:eastAsia="Garamond" w:hAnsi="Garamond" w:cs="Garamond"/>
        </w:rPr>
        <w:t xml:space="preserve"> di cui n. 20 ammonizioni per prima segnalazione.</w:t>
      </w:r>
    </w:p>
    <w:p w14:paraId="54C8CD61" w14:textId="77777777" w:rsidR="00A44FF9" w:rsidRDefault="0094513D" w:rsidP="00E20C6A">
      <w:pPr>
        <w:spacing w:line="360" w:lineRule="auto"/>
        <w:ind w:firstLine="454"/>
        <w:jc w:val="both"/>
        <w:rPr>
          <w:rFonts w:ascii="Garamond" w:eastAsia="Garamond" w:hAnsi="Garamond" w:cs="Garamond"/>
          <w:color w:val="000000"/>
        </w:rPr>
      </w:pPr>
      <w:r>
        <w:rPr>
          <w:rFonts w:ascii="Garamond" w:eastAsia="Garamond" w:hAnsi="Garamond" w:cs="Garamond"/>
          <w:color w:val="000000"/>
        </w:rPr>
        <w:t>Proseguono altresì controlli straordinari nei settori dell’agricoltura, della logistica e dell’edilizia, definiti nell’ambito dell’Osservatorio per la Sicurezza nei Luoghi di Lavoro, da parte degli enti ispettivi ITL, INPS, AUSL e INAIL, aggiuntivi rispetto a quelli già svolti nell’ambito delle rispettive competenze istituzionali.</w:t>
      </w:r>
    </w:p>
    <w:p w14:paraId="367BD5C9" w14:textId="77777777" w:rsidR="00A44FF9" w:rsidRDefault="0094513D" w:rsidP="00DE508E">
      <w:pPr>
        <w:spacing w:line="360" w:lineRule="auto"/>
        <w:ind w:firstLine="708"/>
        <w:jc w:val="both"/>
        <w:rPr>
          <w:rFonts w:ascii="Garamond" w:eastAsia="Garamond" w:hAnsi="Garamond" w:cs="Garamond"/>
          <w:color w:val="000000"/>
        </w:rPr>
      </w:pPr>
      <w:r>
        <w:rPr>
          <w:rFonts w:ascii="Garamond" w:eastAsia="Garamond" w:hAnsi="Garamond" w:cs="Garamond"/>
          <w:color w:val="000000"/>
        </w:rPr>
        <w:t>Questi i dati relativi al mese di aprile 2023:</w:t>
      </w:r>
    </w:p>
    <w:tbl>
      <w:tblPr>
        <w:tblStyle w:val="a"/>
        <w:tblW w:w="8080" w:type="dxa"/>
        <w:tblInd w:w="-147" w:type="dxa"/>
        <w:tblLayout w:type="fixed"/>
        <w:tblLook w:val="0400" w:firstRow="0" w:lastRow="0" w:firstColumn="0" w:lastColumn="0" w:noHBand="0" w:noVBand="1"/>
      </w:tblPr>
      <w:tblGrid>
        <w:gridCol w:w="1702"/>
        <w:gridCol w:w="1701"/>
        <w:gridCol w:w="1417"/>
        <w:gridCol w:w="1843"/>
        <w:gridCol w:w="1417"/>
      </w:tblGrid>
      <w:tr w:rsidR="00A44FF9" w14:paraId="0450B93A" w14:textId="77777777">
        <w:trPr>
          <w:trHeight w:val="738"/>
        </w:trPr>
        <w:tc>
          <w:tcPr>
            <w:tcW w:w="1702" w:type="dxa"/>
            <w:tcBorders>
              <w:top w:val="single" w:sz="4" w:space="0" w:color="000000"/>
              <w:left w:val="single" w:sz="4" w:space="0" w:color="000000"/>
              <w:bottom w:val="single" w:sz="4" w:space="0" w:color="000000"/>
              <w:right w:val="single" w:sz="4" w:space="0" w:color="000000"/>
            </w:tcBorders>
          </w:tcPr>
          <w:p w14:paraId="47C547CD"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SETTORE</w:t>
            </w:r>
          </w:p>
        </w:tc>
        <w:tc>
          <w:tcPr>
            <w:tcW w:w="1701" w:type="dxa"/>
            <w:tcBorders>
              <w:top w:val="single" w:sz="4" w:space="0" w:color="000000"/>
              <w:left w:val="single" w:sz="4" w:space="0" w:color="000000"/>
              <w:bottom w:val="single" w:sz="4" w:space="0" w:color="000000"/>
              <w:right w:val="single" w:sz="4" w:space="0" w:color="000000"/>
            </w:tcBorders>
          </w:tcPr>
          <w:p w14:paraId="76605DC2" w14:textId="77777777" w:rsidR="00A44FF9" w:rsidRDefault="0094513D">
            <w:pPr>
              <w:spacing w:line="360" w:lineRule="auto"/>
              <w:rPr>
                <w:rFonts w:ascii="Garamond" w:eastAsia="Garamond" w:hAnsi="Garamond" w:cs="Garamond"/>
                <w:color w:val="000000"/>
                <w:sz w:val="20"/>
                <w:szCs w:val="20"/>
              </w:rPr>
            </w:pPr>
            <w:r>
              <w:rPr>
                <w:rFonts w:ascii="Garamond" w:eastAsia="Garamond" w:hAnsi="Garamond" w:cs="Garamond"/>
                <w:color w:val="000000"/>
                <w:sz w:val="20"/>
                <w:szCs w:val="20"/>
              </w:rPr>
              <w:t>N. CONTROLLI</w:t>
            </w:r>
          </w:p>
        </w:tc>
        <w:tc>
          <w:tcPr>
            <w:tcW w:w="1417" w:type="dxa"/>
            <w:tcBorders>
              <w:top w:val="single" w:sz="4" w:space="0" w:color="000000"/>
              <w:left w:val="single" w:sz="4" w:space="0" w:color="000000"/>
              <w:bottom w:val="single" w:sz="4" w:space="0" w:color="000000"/>
              <w:right w:val="single" w:sz="4" w:space="0" w:color="000000"/>
            </w:tcBorders>
          </w:tcPr>
          <w:p w14:paraId="69F9D6F5"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REGOLARI</w:t>
            </w:r>
          </w:p>
        </w:tc>
        <w:tc>
          <w:tcPr>
            <w:tcW w:w="1843" w:type="dxa"/>
            <w:tcBorders>
              <w:top w:val="single" w:sz="4" w:space="0" w:color="000000"/>
              <w:left w:val="single" w:sz="4" w:space="0" w:color="000000"/>
              <w:bottom w:val="single" w:sz="4" w:space="0" w:color="000000"/>
              <w:right w:val="single" w:sz="4" w:space="0" w:color="000000"/>
            </w:tcBorders>
          </w:tcPr>
          <w:p w14:paraId="30B85C08"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IRREGOLARI</w:t>
            </w:r>
          </w:p>
        </w:tc>
        <w:tc>
          <w:tcPr>
            <w:tcW w:w="1417" w:type="dxa"/>
            <w:tcBorders>
              <w:top w:val="single" w:sz="4" w:space="0" w:color="000000"/>
              <w:left w:val="single" w:sz="4" w:space="0" w:color="000000"/>
              <w:bottom w:val="single" w:sz="4" w:space="0" w:color="000000"/>
              <w:right w:val="single" w:sz="4" w:space="0" w:color="000000"/>
            </w:tcBorders>
          </w:tcPr>
          <w:p w14:paraId="2BAF6F61" w14:textId="77777777" w:rsidR="00A44FF9" w:rsidRDefault="0094513D">
            <w:pPr>
              <w:spacing w:line="360" w:lineRule="auto"/>
              <w:rPr>
                <w:rFonts w:ascii="Garamond" w:eastAsia="Garamond" w:hAnsi="Garamond" w:cs="Garamond"/>
                <w:color w:val="000000"/>
                <w:sz w:val="20"/>
                <w:szCs w:val="20"/>
              </w:rPr>
            </w:pPr>
            <w:r>
              <w:rPr>
                <w:rFonts w:ascii="Garamond" w:eastAsia="Garamond" w:hAnsi="Garamond" w:cs="Garamond"/>
                <w:color w:val="000000"/>
                <w:sz w:val="20"/>
                <w:szCs w:val="20"/>
              </w:rPr>
              <w:t>IN CORSO</w:t>
            </w:r>
          </w:p>
        </w:tc>
      </w:tr>
      <w:tr w:rsidR="00A44FF9" w14:paraId="657096AF" w14:textId="77777777">
        <w:trPr>
          <w:trHeight w:val="413"/>
        </w:trPr>
        <w:tc>
          <w:tcPr>
            <w:tcW w:w="1702" w:type="dxa"/>
            <w:tcBorders>
              <w:top w:val="single" w:sz="4" w:space="0" w:color="000000"/>
              <w:left w:val="single" w:sz="4" w:space="0" w:color="000000"/>
              <w:bottom w:val="single" w:sz="4" w:space="0" w:color="000000"/>
              <w:right w:val="single" w:sz="4" w:space="0" w:color="000000"/>
            </w:tcBorders>
          </w:tcPr>
          <w:p w14:paraId="27DEA982"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AGRICOLTURA</w:t>
            </w:r>
          </w:p>
        </w:tc>
        <w:tc>
          <w:tcPr>
            <w:tcW w:w="1701" w:type="dxa"/>
            <w:tcBorders>
              <w:top w:val="single" w:sz="4" w:space="0" w:color="000000"/>
              <w:left w:val="single" w:sz="4" w:space="0" w:color="000000"/>
              <w:bottom w:val="single" w:sz="4" w:space="0" w:color="000000"/>
              <w:right w:val="single" w:sz="4" w:space="0" w:color="000000"/>
            </w:tcBorders>
          </w:tcPr>
          <w:p w14:paraId="2419A5FD"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32</w:t>
            </w:r>
          </w:p>
        </w:tc>
        <w:tc>
          <w:tcPr>
            <w:tcW w:w="1417" w:type="dxa"/>
            <w:tcBorders>
              <w:top w:val="single" w:sz="4" w:space="0" w:color="000000"/>
              <w:left w:val="single" w:sz="4" w:space="0" w:color="000000"/>
              <w:bottom w:val="single" w:sz="4" w:space="0" w:color="000000"/>
              <w:right w:val="single" w:sz="4" w:space="0" w:color="000000"/>
            </w:tcBorders>
          </w:tcPr>
          <w:p w14:paraId="07019283"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625E5686"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11</w:t>
            </w:r>
          </w:p>
        </w:tc>
        <w:tc>
          <w:tcPr>
            <w:tcW w:w="1417" w:type="dxa"/>
            <w:tcBorders>
              <w:top w:val="single" w:sz="4" w:space="0" w:color="000000"/>
              <w:left w:val="single" w:sz="4" w:space="0" w:color="000000"/>
              <w:bottom w:val="single" w:sz="4" w:space="0" w:color="000000"/>
              <w:right w:val="single" w:sz="4" w:space="0" w:color="000000"/>
            </w:tcBorders>
          </w:tcPr>
          <w:p w14:paraId="582A2F97"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20</w:t>
            </w:r>
          </w:p>
        </w:tc>
      </w:tr>
      <w:tr w:rsidR="00A44FF9" w14:paraId="608533AB" w14:textId="77777777">
        <w:trPr>
          <w:trHeight w:val="478"/>
        </w:trPr>
        <w:tc>
          <w:tcPr>
            <w:tcW w:w="1702" w:type="dxa"/>
            <w:tcBorders>
              <w:top w:val="single" w:sz="4" w:space="0" w:color="000000"/>
              <w:left w:val="single" w:sz="4" w:space="0" w:color="000000"/>
              <w:bottom w:val="single" w:sz="4" w:space="0" w:color="000000"/>
              <w:right w:val="single" w:sz="4" w:space="0" w:color="000000"/>
            </w:tcBorders>
          </w:tcPr>
          <w:p w14:paraId="2B51A7D2"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EDILIZIA</w:t>
            </w:r>
          </w:p>
          <w:p w14:paraId="769FDA82" w14:textId="77777777" w:rsidR="00A44FF9" w:rsidRDefault="00A44FF9">
            <w:pPr>
              <w:spacing w:line="360" w:lineRule="auto"/>
              <w:ind w:firstLine="708"/>
              <w:jc w:val="both"/>
              <w:rPr>
                <w:rFonts w:ascii="Garamond" w:eastAsia="Garamond" w:hAnsi="Garamond" w:cs="Garamond"/>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D8EA868"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21</w:t>
            </w:r>
          </w:p>
        </w:tc>
        <w:tc>
          <w:tcPr>
            <w:tcW w:w="1417" w:type="dxa"/>
            <w:tcBorders>
              <w:top w:val="single" w:sz="4" w:space="0" w:color="000000"/>
              <w:left w:val="single" w:sz="4" w:space="0" w:color="000000"/>
              <w:bottom w:val="single" w:sz="4" w:space="0" w:color="000000"/>
              <w:right w:val="single" w:sz="4" w:space="0" w:color="000000"/>
            </w:tcBorders>
          </w:tcPr>
          <w:p w14:paraId="14DF8F4D"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9</w:t>
            </w:r>
          </w:p>
        </w:tc>
        <w:tc>
          <w:tcPr>
            <w:tcW w:w="1843" w:type="dxa"/>
            <w:tcBorders>
              <w:top w:val="single" w:sz="4" w:space="0" w:color="000000"/>
              <w:left w:val="single" w:sz="4" w:space="0" w:color="000000"/>
              <w:bottom w:val="single" w:sz="4" w:space="0" w:color="000000"/>
              <w:right w:val="single" w:sz="4" w:space="0" w:color="000000"/>
            </w:tcBorders>
          </w:tcPr>
          <w:p w14:paraId="5F8937A4"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24*</w:t>
            </w:r>
          </w:p>
        </w:tc>
        <w:tc>
          <w:tcPr>
            <w:tcW w:w="1417" w:type="dxa"/>
            <w:tcBorders>
              <w:top w:val="single" w:sz="4" w:space="0" w:color="000000"/>
              <w:left w:val="single" w:sz="4" w:space="0" w:color="000000"/>
              <w:bottom w:val="single" w:sz="4" w:space="0" w:color="000000"/>
              <w:right w:val="single" w:sz="4" w:space="0" w:color="000000"/>
            </w:tcBorders>
          </w:tcPr>
          <w:p w14:paraId="2E287109"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0</w:t>
            </w:r>
          </w:p>
        </w:tc>
      </w:tr>
      <w:tr w:rsidR="00A44FF9" w14:paraId="2F50C19E"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711C194F"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LOGISTICA</w:t>
            </w:r>
          </w:p>
        </w:tc>
        <w:tc>
          <w:tcPr>
            <w:tcW w:w="1701" w:type="dxa"/>
            <w:tcBorders>
              <w:top w:val="single" w:sz="4" w:space="0" w:color="000000"/>
              <w:left w:val="single" w:sz="4" w:space="0" w:color="000000"/>
              <w:bottom w:val="single" w:sz="4" w:space="0" w:color="000000"/>
              <w:right w:val="single" w:sz="4" w:space="0" w:color="000000"/>
            </w:tcBorders>
          </w:tcPr>
          <w:p w14:paraId="5E03E502"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4</w:t>
            </w:r>
          </w:p>
        </w:tc>
        <w:tc>
          <w:tcPr>
            <w:tcW w:w="1417" w:type="dxa"/>
            <w:tcBorders>
              <w:top w:val="single" w:sz="4" w:space="0" w:color="000000"/>
              <w:left w:val="single" w:sz="4" w:space="0" w:color="000000"/>
              <w:bottom w:val="single" w:sz="4" w:space="0" w:color="000000"/>
              <w:right w:val="single" w:sz="4" w:space="0" w:color="000000"/>
            </w:tcBorders>
          </w:tcPr>
          <w:p w14:paraId="56755A90"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1</w:t>
            </w:r>
          </w:p>
        </w:tc>
        <w:tc>
          <w:tcPr>
            <w:tcW w:w="1843" w:type="dxa"/>
            <w:tcBorders>
              <w:top w:val="single" w:sz="4" w:space="0" w:color="000000"/>
              <w:left w:val="single" w:sz="4" w:space="0" w:color="000000"/>
              <w:bottom w:val="single" w:sz="4" w:space="0" w:color="000000"/>
              <w:right w:val="single" w:sz="4" w:space="0" w:color="000000"/>
            </w:tcBorders>
          </w:tcPr>
          <w:p w14:paraId="6F20222C"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1</w:t>
            </w:r>
          </w:p>
        </w:tc>
        <w:tc>
          <w:tcPr>
            <w:tcW w:w="1417" w:type="dxa"/>
            <w:tcBorders>
              <w:top w:val="single" w:sz="4" w:space="0" w:color="000000"/>
              <w:left w:val="single" w:sz="4" w:space="0" w:color="000000"/>
              <w:bottom w:val="single" w:sz="4" w:space="0" w:color="000000"/>
              <w:right w:val="single" w:sz="4" w:space="0" w:color="000000"/>
            </w:tcBorders>
          </w:tcPr>
          <w:p w14:paraId="3ECBE659"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2</w:t>
            </w:r>
          </w:p>
        </w:tc>
      </w:tr>
      <w:tr w:rsidR="00A44FF9" w14:paraId="5FCFE1A5" w14:textId="77777777">
        <w:trPr>
          <w:trHeight w:val="398"/>
        </w:trPr>
        <w:tc>
          <w:tcPr>
            <w:tcW w:w="1702" w:type="dxa"/>
            <w:tcBorders>
              <w:top w:val="single" w:sz="4" w:space="0" w:color="000000"/>
              <w:left w:val="single" w:sz="4" w:space="0" w:color="000000"/>
              <w:bottom w:val="single" w:sz="4" w:space="0" w:color="000000"/>
              <w:right w:val="single" w:sz="4" w:space="0" w:color="000000"/>
            </w:tcBorders>
          </w:tcPr>
          <w:p w14:paraId="4820A9B5" w14:textId="77777777" w:rsidR="00A44FF9" w:rsidRDefault="0094513D">
            <w:pPr>
              <w:spacing w:line="360" w:lineRule="auto"/>
              <w:jc w:val="both"/>
              <w:rPr>
                <w:rFonts w:ascii="Garamond" w:eastAsia="Garamond" w:hAnsi="Garamond" w:cs="Garamond"/>
                <w:color w:val="000000"/>
                <w:sz w:val="20"/>
                <w:szCs w:val="20"/>
              </w:rPr>
            </w:pPr>
            <w:r>
              <w:rPr>
                <w:rFonts w:ascii="Garamond" w:eastAsia="Garamond" w:hAnsi="Garamond" w:cs="Garamond"/>
                <w:color w:val="000000"/>
                <w:sz w:val="20"/>
                <w:szCs w:val="20"/>
              </w:rPr>
              <w:t>TOTALE</w:t>
            </w:r>
          </w:p>
        </w:tc>
        <w:tc>
          <w:tcPr>
            <w:tcW w:w="1701" w:type="dxa"/>
            <w:tcBorders>
              <w:top w:val="single" w:sz="4" w:space="0" w:color="000000"/>
              <w:left w:val="single" w:sz="4" w:space="0" w:color="000000"/>
              <w:bottom w:val="single" w:sz="4" w:space="0" w:color="000000"/>
              <w:right w:val="single" w:sz="4" w:space="0" w:color="000000"/>
            </w:tcBorders>
          </w:tcPr>
          <w:p w14:paraId="281B6065"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57</w:t>
            </w:r>
          </w:p>
        </w:tc>
        <w:tc>
          <w:tcPr>
            <w:tcW w:w="1417" w:type="dxa"/>
            <w:tcBorders>
              <w:top w:val="single" w:sz="4" w:space="0" w:color="000000"/>
              <w:left w:val="single" w:sz="4" w:space="0" w:color="000000"/>
              <w:bottom w:val="single" w:sz="4" w:space="0" w:color="000000"/>
              <w:right w:val="single" w:sz="4" w:space="0" w:color="000000"/>
            </w:tcBorders>
          </w:tcPr>
          <w:p w14:paraId="3D4DBBCA"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11</w:t>
            </w:r>
          </w:p>
        </w:tc>
        <w:tc>
          <w:tcPr>
            <w:tcW w:w="1843" w:type="dxa"/>
            <w:tcBorders>
              <w:top w:val="single" w:sz="4" w:space="0" w:color="000000"/>
              <w:left w:val="single" w:sz="4" w:space="0" w:color="000000"/>
              <w:bottom w:val="single" w:sz="4" w:space="0" w:color="000000"/>
              <w:right w:val="single" w:sz="4" w:space="0" w:color="000000"/>
            </w:tcBorders>
          </w:tcPr>
          <w:p w14:paraId="6A29F797"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36</w:t>
            </w:r>
          </w:p>
        </w:tc>
        <w:tc>
          <w:tcPr>
            <w:tcW w:w="1417" w:type="dxa"/>
            <w:tcBorders>
              <w:top w:val="single" w:sz="4" w:space="0" w:color="000000"/>
              <w:left w:val="single" w:sz="4" w:space="0" w:color="000000"/>
              <w:bottom w:val="single" w:sz="4" w:space="0" w:color="000000"/>
              <w:right w:val="single" w:sz="4" w:space="0" w:color="000000"/>
            </w:tcBorders>
          </w:tcPr>
          <w:p w14:paraId="670C596F"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22</w:t>
            </w:r>
          </w:p>
        </w:tc>
      </w:tr>
    </w:tbl>
    <w:p w14:paraId="45106D7A" w14:textId="77777777" w:rsidR="00A44FF9" w:rsidRDefault="00A44FF9">
      <w:pPr>
        <w:spacing w:line="360" w:lineRule="auto"/>
        <w:ind w:firstLine="708"/>
        <w:jc w:val="both"/>
        <w:rPr>
          <w:rFonts w:ascii="Garamond" w:eastAsia="Garamond" w:hAnsi="Garamond" w:cs="Garamond"/>
          <w:color w:val="000000"/>
        </w:rPr>
      </w:pPr>
    </w:p>
    <w:p w14:paraId="2244C8CC"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ab/>
        <w:t>Con riferimento al dato relativo al settore dell’edilizia, si precisa che si tratta del numero di cantieri ispezionati presso i quali possono operare anche più ditte.</w:t>
      </w:r>
    </w:p>
    <w:p w14:paraId="43D80E07" w14:textId="77777777" w:rsidR="00A44FF9" w:rsidRDefault="0094513D">
      <w:pPr>
        <w:spacing w:line="360" w:lineRule="auto"/>
        <w:ind w:firstLine="708"/>
        <w:jc w:val="both"/>
        <w:rPr>
          <w:rFonts w:ascii="Garamond" w:eastAsia="Garamond" w:hAnsi="Garamond" w:cs="Garamond"/>
          <w:color w:val="000000"/>
        </w:rPr>
      </w:pPr>
      <w:r>
        <w:rPr>
          <w:rFonts w:ascii="Garamond" w:eastAsia="Garamond" w:hAnsi="Garamond" w:cs="Garamond"/>
          <w:color w:val="000000"/>
        </w:rPr>
        <w:t>Nello specifico i predetti controlli nel primo quadrimestre dell’anno (</w:t>
      </w:r>
      <w:proofErr w:type="spellStart"/>
      <w:r>
        <w:rPr>
          <w:rFonts w:ascii="Garamond" w:eastAsia="Garamond" w:hAnsi="Garamond" w:cs="Garamond"/>
          <w:color w:val="000000"/>
        </w:rPr>
        <w:t>gen</w:t>
      </w:r>
      <w:proofErr w:type="spellEnd"/>
      <w:r>
        <w:rPr>
          <w:rFonts w:ascii="Garamond" w:eastAsia="Garamond" w:hAnsi="Garamond" w:cs="Garamond"/>
          <w:color w:val="000000"/>
        </w:rPr>
        <w:t xml:space="preserve"> – </w:t>
      </w:r>
      <w:proofErr w:type="spellStart"/>
      <w:r>
        <w:rPr>
          <w:rFonts w:ascii="Garamond" w:eastAsia="Garamond" w:hAnsi="Garamond" w:cs="Garamond"/>
          <w:color w:val="000000"/>
        </w:rPr>
        <w:t>apr</w:t>
      </w:r>
      <w:proofErr w:type="spellEnd"/>
      <w:r>
        <w:rPr>
          <w:rFonts w:ascii="Garamond" w:eastAsia="Garamond" w:hAnsi="Garamond" w:cs="Garamond"/>
          <w:color w:val="000000"/>
        </w:rPr>
        <w:t xml:space="preserve"> 2023) hanno consentito all’ITL con il supporto del Nucleo Ispettorato del Lavoro dell’Arma dei Carabinieri di accertare n. 51 posizioni di irregolarità lavorativa, n. 13 violazioni in materia di immigrazione e n. 7 relative alla sicurezza nei luoghi di lavoro.</w:t>
      </w:r>
    </w:p>
    <w:p w14:paraId="529F0D2A" w14:textId="77777777" w:rsidR="00D50265" w:rsidRDefault="00D50265">
      <w:pPr>
        <w:spacing w:line="360" w:lineRule="auto"/>
        <w:ind w:firstLine="708"/>
        <w:jc w:val="both"/>
        <w:rPr>
          <w:rFonts w:ascii="Garamond" w:eastAsia="Garamond" w:hAnsi="Garamond" w:cs="Garamond"/>
          <w:color w:val="000000"/>
        </w:rPr>
      </w:pPr>
      <w:r>
        <w:rPr>
          <w:rFonts w:ascii="Garamond" w:eastAsia="Garamond" w:hAnsi="Garamond" w:cs="Garamond"/>
          <w:color w:val="000000"/>
        </w:rPr>
        <w:t xml:space="preserve">Nella giornata di domani si terrà in Prefettura l’incontro </w:t>
      </w:r>
      <w:r w:rsidRPr="00D50265">
        <w:rPr>
          <w:rFonts w:ascii="Garamond" w:eastAsia="Garamond" w:hAnsi="Garamond" w:cs="Garamond"/>
          <w:i/>
          <w:color w:val="000000"/>
        </w:rPr>
        <w:t xml:space="preserve">“Agricoltura: Prevenzione degli infortuni e delle malattie professionali in Regione Emilia-Romagna”, </w:t>
      </w:r>
      <w:r w:rsidRPr="00D50265">
        <w:rPr>
          <w:rFonts w:ascii="Garamond" w:eastAsia="Garamond" w:hAnsi="Garamond" w:cs="Garamond"/>
          <w:color w:val="000000"/>
        </w:rPr>
        <w:t>a cura della Dott.ssa Francesca Sormani, Dott.ssa Maria Teresa Cella e dott. Giuseppe Sergi</w:t>
      </w:r>
      <w:r>
        <w:rPr>
          <w:rFonts w:ascii="Garamond" w:eastAsia="Garamond" w:hAnsi="Garamond" w:cs="Garamond"/>
          <w:color w:val="000000"/>
        </w:rPr>
        <w:t xml:space="preserve"> del </w:t>
      </w:r>
      <w:r w:rsidRPr="00D50265">
        <w:rPr>
          <w:rFonts w:ascii="Garamond" w:eastAsia="Garamond" w:hAnsi="Garamond" w:cs="Garamond"/>
          <w:color w:val="000000"/>
        </w:rPr>
        <w:t>Servizio Prevenzione e Sicurezza Ambienti di Lavoro dell’Ausl di Piacenza</w:t>
      </w:r>
      <w:r>
        <w:rPr>
          <w:rFonts w:ascii="Garamond" w:eastAsia="Garamond" w:hAnsi="Garamond" w:cs="Garamond"/>
          <w:color w:val="000000"/>
        </w:rPr>
        <w:t>, cui hanno aderito circa n. 50 aziende agricole del territorio.</w:t>
      </w:r>
    </w:p>
    <w:p w14:paraId="3AC8F04E" w14:textId="77777777" w:rsidR="00D50265" w:rsidRPr="00D50265" w:rsidRDefault="00D50265" w:rsidP="00D50265">
      <w:pPr>
        <w:spacing w:line="360" w:lineRule="auto"/>
        <w:ind w:firstLine="708"/>
        <w:jc w:val="both"/>
        <w:rPr>
          <w:rFonts w:ascii="Garamond" w:eastAsia="Garamond" w:hAnsi="Garamond" w:cs="Garamond"/>
          <w:color w:val="000000"/>
        </w:rPr>
      </w:pPr>
      <w:r>
        <w:rPr>
          <w:rFonts w:ascii="Garamond" w:eastAsia="Garamond" w:hAnsi="Garamond" w:cs="Garamond"/>
          <w:color w:val="000000"/>
        </w:rPr>
        <w:t xml:space="preserve">L’iniziativa si inserisce nel </w:t>
      </w:r>
      <w:r w:rsidRPr="00D50265">
        <w:rPr>
          <w:rFonts w:ascii="Garamond" w:eastAsia="Garamond" w:hAnsi="Garamond" w:cs="Garamond"/>
          <w:color w:val="000000"/>
        </w:rPr>
        <w:t>II° ciclo di incontri promosso dal Prefetto Daniela Lupo nell’ambito dell’Osservatorio per la sicurezza nei luoghi di lavoro, istituito con il protocollo di intesa sottoscritto il 23 settembre 2020, per l’</w:t>
      </w:r>
      <w:r w:rsidRPr="00D50265">
        <w:rPr>
          <w:rFonts w:ascii="Garamond" w:eastAsia="Garamond" w:hAnsi="Garamond" w:cs="Garamond"/>
          <w:bCs/>
          <w:color w:val="000000"/>
        </w:rPr>
        <w:t>informazione e la sensibilizzazione</w:t>
      </w:r>
      <w:r w:rsidRPr="00D50265">
        <w:rPr>
          <w:rFonts w:ascii="Garamond" w:eastAsia="Garamond" w:hAnsi="Garamond" w:cs="Garamond"/>
          <w:color w:val="000000"/>
        </w:rPr>
        <w:t xml:space="preserve"> degli operatori economici alle misure di protezione dei lavoratori, anche tramite l’utilizzo dei fondi ad hoc previsti.</w:t>
      </w:r>
    </w:p>
    <w:p w14:paraId="49B7B754" w14:textId="77777777" w:rsidR="00D50265" w:rsidRPr="00D50265" w:rsidRDefault="00D50265" w:rsidP="00D50265">
      <w:pPr>
        <w:spacing w:line="360" w:lineRule="auto"/>
        <w:ind w:firstLine="708"/>
        <w:jc w:val="both"/>
        <w:rPr>
          <w:rFonts w:ascii="Garamond" w:eastAsia="Garamond" w:hAnsi="Garamond" w:cs="Garamond"/>
          <w:color w:val="000000"/>
        </w:rPr>
      </w:pPr>
      <w:r w:rsidRPr="00D50265">
        <w:rPr>
          <w:rFonts w:ascii="Garamond" w:eastAsia="Garamond" w:hAnsi="Garamond" w:cs="Garamond"/>
          <w:color w:val="000000"/>
        </w:rPr>
        <w:lastRenderedPageBreak/>
        <w:t xml:space="preserve">Le iniziative e i materiali dell’Osservatorio per la sicurezza nei luoghi di lavoro sono consultabili sul sito della Prefettura, unitamente a quelle </w:t>
      </w:r>
      <w:proofErr w:type="gramStart"/>
      <w:r w:rsidRPr="00D50265">
        <w:rPr>
          <w:rFonts w:ascii="Garamond" w:eastAsia="Garamond" w:hAnsi="Garamond" w:cs="Garamond"/>
          <w:color w:val="000000"/>
        </w:rPr>
        <w:t>dei</w:t>
      </w:r>
      <w:proofErr w:type="gramEnd"/>
      <w:r w:rsidRPr="00D50265">
        <w:rPr>
          <w:rFonts w:ascii="Garamond" w:eastAsia="Garamond" w:hAnsi="Garamond" w:cs="Garamond"/>
          <w:color w:val="000000"/>
        </w:rPr>
        <w:t xml:space="preserve"> scorsi anni: </w:t>
      </w:r>
    </w:p>
    <w:p w14:paraId="2800E6F0" w14:textId="77777777" w:rsidR="00D50265" w:rsidRDefault="00000000" w:rsidP="00D50265">
      <w:pPr>
        <w:spacing w:line="360" w:lineRule="auto"/>
        <w:ind w:firstLine="708"/>
        <w:jc w:val="both"/>
        <w:rPr>
          <w:rFonts w:ascii="Garamond" w:eastAsia="Garamond" w:hAnsi="Garamond" w:cs="Garamond"/>
          <w:color w:val="000000"/>
        </w:rPr>
      </w:pPr>
      <w:hyperlink r:id="rId7" w:history="1">
        <w:r w:rsidR="00D50265" w:rsidRPr="00B1410F">
          <w:rPr>
            <w:rStyle w:val="Collegamentoipertestuale"/>
            <w:rFonts w:ascii="Garamond" w:eastAsia="Garamond" w:hAnsi="Garamond" w:cs="Garamond"/>
          </w:rPr>
          <w:t>http://www.prefettura.it/piacenza/contenuti/Osservatorio_sicurezza_sul_lavoro-12456453.htm</w:t>
        </w:r>
      </w:hyperlink>
    </w:p>
    <w:p w14:paraId="45A83B5C" w14:textId="77777777" w:rsidR="00A44FF9" w:rsidRDefault="00A44FF9">
      <w:pPr>
        <w:spacing w:line="360" w:lineRule="auto"/>
        <w:jc w:val="both"/>
        <w:rPr>
          <w:rFonts w:ascii="Garamond" w:eastAsia="Garamond" w:hAnsi="Garamond" w:cs="Garamond"/>
          <w:color w:val="000000"/>
        </w:rPr>
      </w:pPr>
    </w:p>
    <w:p w14:paraId="61FA1EC6" w14:textId="77777777" w:rsidR="00A44FF9" w:rsidRDefault="0094513D">
      <w:pPr>
        <w:spacing w:line="360" w:lineRule="auto"/>
        <w:jc w:val="both"/>
        <w:rPr>
          <w:rFonts w:ascii="Garamond" w:eastAsia="Garamond" w:hAnsi="Garamond" w:cs="Garamond"/>
        </w:rPr>
      </w:pPr>
      <w:bookmarkStart w:id="0" w:name="_gjdgxs" w:colFirst="0" w:colLast="0"/>
      <w:bookmarkEnd w:id="0"/>
      <w:r>
        <w:rPr>
          <w:rFonts w:ascii="Garamond" w:eastAsia="Garamond" w:hAnsi="Garamond" w:cs="Garamond"/>
        </w:rPr>
        <w:t xml:space="preserve">Piacenza, </w:t>
      </w:r>
      <w:r w:rsidR="00DE508E">
        <w:rPr>
          <w:rFonts w:ascii="Garamond" w:eastAsia="Garamond" w:hAnsi="Garamond" w:cs="Garamond"/>
        </w:rPr>
        <w:t>9</w:t>
      </w:r>
      <w:r>
        <w:rPr>
          <w:rFonts w:ascii="Garamond" w:eastAsia="Garamond" w:hAnsi="Garamond" w:cs="Garamond"/>
        </w:rPr>
        <w:t xml:space="preserve"> maggio 2023</w:t>
      </w:r>
    </w:p>
    <w:sectPr w:rsidR="00A44FF9">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6C61" w14:textId="77777777" w:rsidR="00704FE3" w:rsidRDefault="00704FE3">
      <w:r>
        <w:separator/>
      </w:r>
    </w:p>
  </w:endnote>
  <w:endnote w:type="continuationSeparator" w:id="0">
    <w:p w14:paraId="52714A5E" w14:textId="77777777" w:rsidR="00704FE3" w:rsidRDefault="0070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6838" w14:textId="77777777" w:rsidR="00704FE3" w:rsidRDefault="00704FE3">
      <w:r>
        <w:separator/>
      </w:r>
    </w:p>
  </w:footnote>
  <w:footnote w:type="continuationSeparator" w:id="0">
    <w:p w14:paraId="2BB28D47" w14:textId="77777777" w:rsidR="00704FE3" w:rsidRDefault="0070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1985" w14:textId="77777777" w:rsidR="00A44FF9" w:rsidRDefault="0094513D">
    <w:pPr>
      <w:ind w:left="567" w:right="282"/>
      <w:jc w:val="center"/>
    </w:pPr>
    <w:r>
      <w:rPr>
        <w:noProof/>
      </w:rPr>
      <w:drawing>
        <wp:anchor distT="0" distB="0" distL="114300" distR="114300" simplePos="0" relativeHeight="251658240" behindDoc="0" locked="0" layoutInCell="1" hidden="0" allowOverlap="1" wp14:anchorId="67EB56E7" wp14:editId="4A71BAED">
          <wp:simplePos x="0" y="0"/>
          <wp:positionH relativeFrom="column">
            <wp:posOffset>2703805</wp:posOffset>
          </wp:positionH>
          <wp:positionV relativeFrom="paragraph">
            <wp:posOffset>-302231</wp:posOffset>
          </wp:positionV>
          <wp:extent cx="718820" cy="714375"/>
          <wp:effectExtent l="0" t="0" r="0" b="0"/>
          <wp:wrapNone/>
          <wp:docPr id="1" name="image1.png" descr="emblema_gr"/>
          <wp:cNvGraphicFramePr/>
          <a:graphic xmlns:a="http://schemas.openxmlformats.org/drawingml/2006/main">
            <a:graphicData uri="http://schemas.openxmlformats.org/drawingml/2006/picture">
              <pic:pic xmlns:pic="http://schemas.openxmlformats.org/drawingml/2006/picture">
                <pic:nvPicPr>
                  <pic:cNvPr id="0" name="image1.png" descr="emblema_gr"/>
                  <pic:cNvPicPr preferRelativeResize="0"/>
                </pic:nvPicPr>
                <pic:blipFill>
                  <a:blip r:embed="rId1"/>
                  <a:srcRect/>
                  <a:stretch>
                    <a:fillRect/>
                  </a:stretch>
                </pic:blipFill>
                <pic:spPr>
                  <a:xfrm>
                    <a:off x="0" y="0"/>
                    <a:ext cx="718820" cy="714375"/>
                  </a:xfrm>
                  <a:prstGeom prst="rect">
                    <a:avLst/>
                  </a:prstGeom>
                  <a:ln/>
                </pic:spPr>
              </pic:pic>
            </a:graphicData>
          </a:graphic>
        </wp:anchor>
      </w:drawing>
    </w:r>
  </w:p>
  <w:p w14:paraId="4B9DF73B" w14:textId="77777777" w:rsidR="00A44FF9" w:rsidRDefault="00A44FF9">
    <w:pPr>
      <w:ind w:left="567" w:right="282"/>
      <w:rPr>
        <w:rFonts w:ascii="Kunstler Script" w:eastAsia="Kunstler Script" w:hAnsi="Kunstler Script" w:cs="Kunstler Script"/>
        <w:sz w:val="60"/>
        <w:szCs w:val="60"/>
      </w:rPr>
    </w:pPr>
  </w:p>
  <w:p w14:paraId="06226C34" w14:textId="77777777" w:rsidR="00A44FF9" w:rsidRDefault="0094513D">
    <w:pPr>
      <w:ind w:left="567" w:right="282"/>
      <w:jc w:val="center"/>
      <w:rPr>
        <w:rFonts w:ascii="Kunstler Script" w:eastAsia="Kunstler Script" w:hAnsi="Kunstler Script" w:cs="Kunstler Script"/>
        <w:sz w:val="72"/>
        <w:szCs w:val="72"/>
      </w:rPr>
    </w:pPr>
    <w:r>
      <w:rPr>
        <w:rFonts w:ascii="Kunstler Script" w:eastAsia="Kunstler Script" w:hAnsi="Kunstler Script" w:cs="Kunstler Script"/>
        <w:sz w:val="72"/>
        <w:szCs w:val="72"/>
      </w:rPr>
      <w:t>Prefettura di Piacenza</w:t>
    </w:r>
  </w:p>
  <w:p w14:paraId="719DAB3A" w14:textId="77777777" w:rsidR="00A44FF9" w:rsidRDefault="0094513D">
    <w:pPr>
      <w:ind w:left="567" w:right="282"/>
      <w:jc w:val="center"/>
      <w:rPr>
        <w:rFonts w:ascii="Kunstler Script" w:eastAsia="Kunstler Script" w:hAnsi="Kunstler Script" w:cs="Kunstler Script"/>
        <w:sz w:val="48"/>
        <w:szCs w:val="48"/>
      </w:rPr>
    </w:pPr>
    <w:r>
      <w:rPr>
        <w:rFonts w:ascii="Kunstler Script" w:eastAsia="Kunstler Script" w:hAnsi="Kunstler Script" w:cs="Kunstler Script"/>
        <w:sz w:val="48"/>
        <w:szCs w:val="48"/>
      </w:rPr>
      <w:t>Ufficio territoriale del Governo</w:t>
    </w:r>
  </w:p>
  <w:p w14:paraId="48BED3F2" w14:textId="77777777" w:rsidR="00A44FF9" w:rsidRDefault="00A44F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405BB"/>
    <w:multiLevelType w:val="hybridMultilevel"/>
    <w:tmpl w:val="1854CB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E765E8"/>
    <w:multiLevelType w:val="multilevel"/>
    <w:tmpl w:val="6586209C"/>
    <w:lvl w:ilvl="0">
      <w:start w:val="1"/>
      <w:numFmt w:val="bullet"/>
      <w:lvlText w:val="─"/>
      <w:lvlJc w:val="left"/>
      <w:pPr>
        <w:ind w:left="720" w:hanging="360"/>
      </w:pPr>
      <w:rPr>
        <w:rFonts w:ascii="Garamond" w:eastAsia="Garamond" w:hAnsi="Garamond" w:cs="Garamond"/>
      </w:rPr>
    </w:lvl>
    <w:lvl w:ilvl="1">
      <w:start w:val="1"/>
      <w:numFmt w:val="bullet"/>
      <w:lvlText w:val="⮚"/>
      <w:lvlJc w:val="left"/>
      <w:pPr>
        <w:ind w:left="1440" w:hanging="360"/>
      </w:pPr>
      <w:rPr>
        <w:rFonts w:ascii="Noto Sans Symbols" w:eastAsia="Noto Sans Symbols" w:hAnsi="Noto Sans Symbols" w:cs="Noto Sans Symbols"/>
        <w:color w:val="1C20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28437">
    <w:abstractNumId w:val="1"/>
  </w:num>
  <w:num w:numId="2" w16cid:durableId="716703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F9"/>
    <w:rsid w:val="00704FE3"/>
    <w:rsid w:val="0094513D"/>
    <w:rsid w:val="00A44FF9"/>
    <w:rsid w:val="00A96390"/>
    <w:rsid w:val="00AE0301"/>
    <w:rsid w:val="00D50265"/>
    <w:rsid w:val="00D962D4"/>
    <w:rsid w:val="00DE508E"/>
    <w:rsid w:val="00E20C6A"/>
    <w:rsid w:val="00EF71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06A6"/>
  <w15:docId w15:val="{1F4FADF1-5CC5-4850-A2E7-A4101FE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Cambria" w:hAnsi="Cambria" w:cs="Cambria"/>
      <w:b/>
      <w:i/>
      <w:color w:val="4F81BD"/>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D50265"/>
    <w:rPr>
      <w:color w:val="0000FF" w:themeColor="hyperlink"/>
      <w:u w:val="single"/>
    </w:rPr>
  </w:style>
  <w:style w:type="character" w:styleId="Menzionenonrisolta">
    <w:name w:val="Unresolved Mention"/>
    <w:basedOn w:val="Carpredefinitoparagrafo"/>
    <w:uiPriority w:val="99"/>
    <w:semiHidden/>
    <w:unhideWhenUsed/>
    <w:rsid w:val="00D5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efettura.it/piacenza/contenuti/Osservatorio_sicurezza_sul_lavoro-1245645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2</cp:revision>
  <cp:lastPrinted>2023-05-09T10:26:00Z</cp:lastPrinted>
  <dcterms:created xsi:type="dcterms:W3CDTF">2023-05-09T12:40:00Z</dcterms:created>
  <dcterms:modified xsi:type="dcterms:W3CDTF">2023-05-09T12:40:00Z</dcterms:modified>
</cp:coreProperties>
</file>