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46B" w:rsidRDefault="00EE04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</w:rPr>
      </w:pPr>
    </w:p>
    <w:p w:rsidR="00EE046B" w:rsidRDefault="00E219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COMUNICATO STAMPA</w:t>
      </w:r>
    </w:p>
    <w:p w:rsidR="00EE046B" w:rsidRDefault="00EE046B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b/>
          <w:color w:val="000000"/>
        </w:rPr>
      </w:pPr>
    </w:p>
    <w:p w:rsidR="00EE046B" w:rsidRDefault="007B4352">
      <w:pPr>
        <w:ind w:firstLine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È stato sottoscritto</w:t>
      </w:r>
      <w:r w:rsidR="00E21988">
        <w:rPr>
          <w:rFonts w:ascii="Garamond" w:eastAsia="Garamond" w:hAnsi="Garamond" w:cs="Garamond"/>
        </w:rPr>
        <w:t xml:space="preserve"> in Prefettura il protocollo d’Intesa interistituzionale per la prevenzione e il contrasto alla violenza sulle donne</w:t>
      </w:r>
      <w:r>
        <w:rPr>
          <w:rFonts w:ascii="Garamond" w:eastAsia="Garamond" w:hAnsi="Garamond" w:cs="Garamond"/>
        </w:rPr>
        <w:t xml:space="preserve">, </w:t>
      </w:r>
      <w:r w:rsidR="00E21988">
        <w:rPr>
          <w:rFonts w:ascii="Garamond" w:eastAsia="Garamond" w:hAnsi="Garamond" w:cs="Garamond"/>
        </w:rPr>
        <w:t>definito con la collaborazione della Procura della Repubblica, della Provincia, del Comune di Piacenza, delle Forze dell’Ordine, dell’Ufficio Scolastico Provinciale, dell’</w:t>
      </w:r>
      <w:proofErr w:type="spellStart"/>
      <w:r w:rsidR="00E21988">
        <w:rPr>
          <w:rFonts w:ascii="Garamond" w:eastAsia="Garamond" w:hAnsi="Garamond" w:cs="Garamond"/>
        </w:rPr>
        <w:t>Ausl</w:t>
      </w:r>
      <w:proofErr w:type="spellEnd"/>
      <w:r w:rsidR="00E21988">
        <w:rPr>
          <w:rFonts w:ascii="Garamond" w:eastAsia="Garamond" w:hAnsi="Garamond" w:cs="Garamond"/>
        </w:rPr>
        <w:t>, della Filiale della Banca d’Italia di Piacenza e del locale Centro Antiviolenza.</w:t>
      </w:r>
    </w:p>
    <w:p w:rsidR="00326F09" w:rsidRDefault="00E21988" w:rsidP="00326F09">
      <w:pPr>
        <w:ind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protocollo ha l’obiettivo di incentivare la sinergia tra le istituzioni </w:t>
      </w:r>
      <w:r w:rsidR="007B4352">
        <w:rPr>
          <w:rFonts w:ascii="Garamond" w:eastAsia="Garamond" w:hAnsi="Garamond" w:cs="Garamond"/>
        </w:rPr>
        <w:t>coinvolte,</w:t>
      </w:r>
      <w:r>
        <w:rPr>
          <w:rFonts w:ascii="Garamond" w:eastAsia="Garamond" w:hAnsi="Garamond" w:cs="Garamond"/>
        </w:rPr>
        <w:t xml:space="preserve"> rafforzare la rete territoriale e le strategie </w:t>
      </w:r>
      <w:r w:rsidR="00A85361">
        <w:rPr>
          <w:rFonts w:ascii="Garamond" w:eastAsia="Garamond" w:hAnsi="Garamond" w:cs="Garamond"/>
        </w:rPr>
        <w:t>operative,</w:t>
      </w:r>
      <w:r>
        <w:rPr>
          <w:rFonts w:ascii="Garamond" w:eastAsia="Garamond" w:hAnsi="Garamond" w:cs="Garamond"/>
        </w:rPr>
        <w:t xml:space="preserve"> per la realizzazione di interventi di prevenzione e contrasto alla violenza nei confronti delle donne, promuove</w:t>
      </w:r>
      <w:r w:rsidR="00326F09">
        <w:rPr>
          <w:rFonts w:ascii="Garamond" w:eastAsia="Garamond" w:hAnsi="Garamond" w:cs="Garamond"/>
        </w:rPr>
        <w:t>re</w:t>
      </w:r>
      <w:bookmarkStart w:id="0" w:name="_GoBack"/>
      <w:bookmarkEnd w:id="0"/>
      <w:r>
        <w:rPr>
          <w:rFonts w:ascii="Garamond" w:eastAsia="Garamond" w:hAnsi="Garamond" w:cs="Garamond"/>
        </w:rPr>
        <w:t xml:space="preserve"> la conoscenza da parte delle vittime dei servizi esistenti in Provincia</w:t>
      </w:r>
      <w:r w:rsidR="00326F09">
        <w:rPr>
          <w:rFonts w:ascii="Garamond" w:eastAsia="Garamond" w:hAnsi="Garamond" w:cs="Garamond"/>
        </w:rPr>
        <w:t xml:space="preserve">, </w:t>
      </w:r>
      <w:r w:rsidR="00326F09" w:rsidRPr="00326F09">
        <w:rPr>
          <w:rFonts w:ascii="Garamond" w:eastAsia="Garamond" w:hAnsi="Garamond" w:cs="Garamond"/>
        </w:rPr>
        <w:t>restando aperto all’adesione di tutte le realtà territoriali che vorranno offrire il loro contributo</w:t>
      </w:r>
    </w:p>
    <w:p w:rsidR="00EE046B" w:rsidRDefault="00E21988">
      <w:pPr>
        <w:ind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Nello specifico si perseguono:</w:t>
      </w:r>
    </w:p>
    <w:p w:rsidR="00EE046B" w:rsidRDefault="00E21988">
      <w:pPr>
        <w:ind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l’analisi e il monitoraggio del fenomeno;</w:t>
      </w:r>
    </w:p>
    <w:p w:rsidR="00EE046B" w:rsidRDefault="00E21988">
      <w:pPr>
        <w:ind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- il coordinamento delle azioni </w:t>
      </w:r>
      <w:r w:rsidR="002D0296">
        <w:rPr>
          <w:rFonts w:ascii="Garamond" w:eastAsia="Garamond" w:hAnsi="Garamond" w:cs="Garamond"/>
        </w:rPr>
        <w:t>e della</w:t>
      </w:r>
      <w:r>
        <w:rPr>
          <w:rFonts w:ascii="Garamond" w:eastAsia="Garamond" w:hAnsi="Garamond" w:cs="Garamond"/>
        </w:rPr>
        <w:t xml:space="preserve"> cooperazione fra soggetti pubblici e privati, operanti nello specifico settore;</w:t>
      </w:r>
    </w:p>
    <w:p w:rsidR="00EE046B" w:rsidRDefault="00E21988">
      <w:pPr>
        <w:ind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la formazione degli operatori e specializzazione nel trattamento delle specifiche fattispecie di reato;</w:t>
      </w:r>
    </w:p>
    <w:p w:rsidR="00EE046B" w:rsidRDefault="00E21988">
      <w:pPr>
        <w:ind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-le iniziative volte a facilitare la raccolta delle denunce, l’assistenza ed il sostegno delle vittime della violenza e di atti persecutori in tutte le fasi successive al verificarsi di episodi “sentinella”;</w:t>
      </w:r>
    </w:p>
    <w:p w:rsidR="00EE046B" w:rsidRDefault="00E21988">
      <w:pPr>
        <w:ind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-l’attuazione di percorsi educativi e informativi a favore delle vittime in ordine agli strumenti e alle modalità di tutela;</w:t>
      </w:r>
    </w:p>
    <w:p w:rsidR="00EE046B" w:rsidRDefault="00E21988">
      <w:pPr>
        <w:ind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la realizzazione di interventi sul territorio volti a favorire il superamento dei fattori che favoriscono la violenza e ad agevolare l’emersione del fenomeno;</w:t>
      </w:r>
    </w:p>
    <w:p w:rsidR="00EE046B" w:rsidRDefault="00E21988">
      <w:pPr>
        <w:ind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- la mappatura di tutti i servizi, centri di ascolto e di accoglienza, presenti sul territorio provinciale;</w:t>
      </w:r>
    </w:p>
    <w:p w:rsidR="00EE046B" w:rsidRDefault="00E21988">
      <w:pPr>
        <w:ind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- </w:t>
      </w:r>
      <w:r w:rsidR="00E860C9">
        <w:rPr>
          <w:rFonts w:ascii="Garamond" w:eastAsia="Garamond" w:hAnsi="Garamond" w:cs="Garamond"/>
        </w:rPr>
        <w:t>la p</w:t>
      </w:r>
      <w:r>
        <w:rPr>
          <w:rFonts w:ascii="Garamond" w:eastAsia="Garamond" w:hAnsi="Garamond" w:cs="Garamond"/>
        </w:rPr>
        <w:t>rom</w:t>
      </w:r>
      <w:r w:rsidR="00E860C9">
        <w:rPr>
          <w:rFonts w:ascii="Garamond" w:eastAsia="Garamond" w:hAnsi="Garamond" w:cs="Garamond"/>
        </w:rPr>
        <w:t>ozion</w:t>
      </w:r>
      <w:r>
        <w:rPr>
          <w:rFonts w:ascii="Garamond" w:eastAsia="Garamond" w:hAnsi="Garamond" w:cs="Garamond"/>
        </w:rPr>
        <w:t xml:space="preserve">e </w:t>
      </w:r>
      <w:r w:rsidR="004F13A8">
        <w:rPr>
          <w:rFonts w:ascii="Garamond" w:eastAsia="Garamond" w:hAnsi="Garamond" w:cs="Garamond"/>
        </w:rPr>
        <w:t>di i</w:t>
      </w:r>
      <w:r>
        <w:rPr>
          <w:rFonts w:ascii="Garamond" w:eastAsia="Garamond" w:hAnsi="Garamond" w:cs="Garamond"/>
        </w:rPr>
        <w:t>nnovative strategie di integrazione della donna nel mondo del lavoro, anche attraverso accordi territoriali fra soggetti pubblici e privati;</w:t>
      </w:r>
    </w:p>
    <w:p w:rsidR="00EE046B" w:rsidRDefault="00E21988">
      <w:pPr>
        <w:ind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- </w:t>
      </w:r>
      <w:r w:rsidR="004F13A8">
        <w:rPr>
          <w:rFonts w:ascii="Garamond" w:eastAsia="Garamond" w:hAnsi="Garamond" w:cs="Garamond"/>
        </w:rPr>
        <w:t xml:space="preserve">la </w:t>
      </w:r>
      <w:r w:rsidR="0035797D">
        <w:rPr>
          <w:rFonts w:ascii="Garamond" w:eastAsia="Garamond" w:hAnsi="Garamond" w:cs="Garamond"/>
        </w:rPr>
        <w:t>promozione di</w:t>
      </w:r>
      <w:r w:rsidR="004F13A8">
        <w:rPr>
          <w:rFonts w:ascii="Garamond" w:eastAsia="Garamond" w:hAnsi="Garamond" w:cs="Garamond"/>
        </w:rPr>
        <w:t xml:space="preserve"> </w:t>
      </w:r>
      <w:r w:rsidR="0035797D">
        <w:rPr>
          <w:rFonts w:ascii="Garamond" w:eastAsia="Garamond" w:hAnsi="Garamond" w:cs="Garamond"/>
        </w:rPr>
        <w:t>iniziative</w:t>
      </w:r>
      <w:r>
        <w:rPr>
          <w:rFonts w:ascii="Garamond" w:eastAsia="Garamond" w:hAnsi="Garamond" w:cs="Garamond"/>
        </w:rPr>
        <w:t xml:space="preserve"> di sensibilizzazione, informazione e formazione permanente sul tema della violenza contro le donne;</w:t>
      </w:r>
    </w:p>
    <w:p w:rsidR="00EE046B" w:rsidRDefault="00E21988">
      <w:pPr>
        <w:ind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Con la collaborazione dell’Ufficio scolastico provinciale viene inoltre prevista l’organizzazione di incontri con gli studenti </w:t>
      </w:r>
      <w:r w:rsidR="0035797D">
        <w:rPr>
          <w:rFonts w:ascii="Garamond" w:eastAsia="Garamond" w:hAnsi="Garamond" w:cs="Garamond"/>
        </w:rPr>
        <w:t>sulla</w:t>
      </w:r>
      <w:r>
        <w:rPr>
          <w:rFonts w:ascii="Garamond" w:eastAsia="Garamond" w:hAnsi="Garamond" w:cs="Garamond"/>
        </w:rPr>
        <w:t xml:space="preserve"> cultura del contrasto alla violenza di genere.</w:t>
      </w:r>
    </w:p>
    <w:p w:rsidR="00EE046B" w:rsidRDefault="00E21988">
      <w:pPr>
        <w:ind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La Filiale della Banca d’Italia organizzerà corsi di educazione finanziaria in favore delle vittime intercettate, al fine di promuoverne l’indipendenza economica.</w:t>
      </w:r>
    </w:p>
    <w:p w:rsidR="00EE046B" w:rsidRDefault="00E21988">
      <w:pPr>
        <w:ind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L’iniziativa nasce anche dalla necessità di rispondere ai casi di maltrattamenti in famiglia e codice rosso registrati in questa Provincia, segnalati dal Procuratore della Repubblica di Piacenza e dalle Forze dell’ordine quali fattispecie in crescita in questo territorio.</w:t>
      </w:r>
    </w:p>
    <w:p w:rsidR="00EE046B" w:rsidRDefault="00E21988">
      <w:pPr>
        <w:ind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Prevista l’istituzione di un tavolo di coordinamento che periodicamente lavorerà per rafforzare le sinergie, la definizione delle modalità di collaborazione, il monitoraggio delle azioni, la risoluzione di eventuali criticità.</w:t>
      </w:r>
    </w:p>
    <w:p w:rsidR="00326F09" w:rsidRDefault="00326F09" w:rsidP="00326F09">
      <w:pPr>
        <w:jc w:val="both"/>
        <w:rPr>
          <w:rFonts w:ascii="Garamond" w:eastAsia="Garamond" w:hAnsi="Garamond" w:cs="Garamond"/>
        </w:rPr>
      </w:pPr>
    </w:p>
    <w:p w:rsidR="00EE046B" w:rsidRDefault="00E21988">
      <w:pPr>
        <w:spacing w:line="360" w:lineRule="auto"/>
        <w:jc w:val="both"/>
        <w:rPr>
          <w:color w:val="000000"/>
        </w:rPr>
      </w:pPr>
      <w:r>
        <w:rPr>
          <w:color w:val="000000"/>
        </w:rPr>
        <w:t>Piacenza, 17 marzo 2023</w:t>
      </w:r>
    </w:p>
    <w:sectPr w:rsidR="00EE046B">
      <w:headerReference w:type="default" r:id="rId6"/>
      <w:pgSz w:w="11906" w:h="16838"/>
      <w:pgMar w:top="1418" w:right="1134" w:bottom="1418" w:left="1134" w:header="18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12A" w:rsidRDefault="00A8212A">
      <w:r>
        <w:separator/>
      </w:r>
    </w:p>
  </w:endnote>
  <w:endnote w:type="continuationSeparator" w:id="0">
    <w:p w:rsidR="00A8212A" w:rsidRDefault="00A8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12A" w:rsidRDefault="00A8212A">
      <w:r>
        <w:separator/>
      </w:r>
    </w:p>
  </w:footnote>
  <w:footnote w:type="continuationSeparator" w:id="0">
    <w:p w:rsidR="00A8212A" w:rsidRDefault="00A8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46B" w:rsidRDefault="00EE046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EE046B" w:rsidRDefault="00E21988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04825" cy="5524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E046B" w:rsidRDefault="00EE046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EE046B" w:rsidRDefault="00E21988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r>
      <w:rPr>
        <w:rFonts w:ascii="Kunstler Script" w:eastAsia="Kunstler Script" w:hAnsi="Kunstler Script" w:cs="Kunstler Script"/>
        <w:b/>
        <w:color w:val="000000"/>
        <w:sz w:val="56"/>
        <w:szCs w:val="56"/>
      </w:rPr>
      <w:t>Prefettura di Piacenza  -Ufficio Territoriale del Governo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6B"/>
    <w:rsid w:val="002D0296"/>
    <w:rsid w:val="00326F09"/>
    <w:rsid w:val="0035797D"/>
    <w:rsid w:val="004F13A8"/>
    <w:rsid w:val="006A0E30"/>
    <w:rsid w:val="0078388F"/>
    <w:rsid w:val="007B4352"/>
    <w:rsid w:val="008A16A8"/>
    <w:rsid w:val="00972CC9"/>
    <w:rsid w:val="00A75770"/>
    <w:rsid w:val="00A8212A"/>
    <w:rsid w:val="00A85361"/>
    <w:rsid w:val="00AA3B70"/>
    <w:rsid w:val="00D231A3"/>
    <w:rsid w:val="00E21988"/>
    <w:rsid w:val="00E860C9"/>
    <w:rsid w:val="00E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50A5"/>
  <w15:docId w15:val="{05CF68A2-4E9C-4D40-ADCF-51AEA1F9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Giordano</cp:lastModifiedBy>
  <cp:revision>5</cp:revision>
  <dcterms:created xsi:type="dcterms:W3CDTF">2023-03-17T16:25:00Z</dcterms:created>
  <dcterms:modified xsi:type="dcterms:W3CDTF">2023-03-17T17:33:00Z</dcterms:modified>
</cp:coreProperties>
</file>