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C613F" w14:textId="77777777" w:rsidR="00000000" w:rsidRDefault="00CB583C">
      <w:pPr>
        <w:pageBreakBefore/>
        <w:rPr>
          <w:b/>
          <w:bCs/>
        </w:rPr>
      </w:pPr>
      <w:r>
        <w:pict w14:anchorId="7405F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8.8pt;height:76.75pt;z-index:1;mso-wrap-distance-left:0;mso-wrap-distance-top:0;mso-wrap-distance-right:0;mso-wrap-distance-bottom:0;mso-position-horizontal:center;mso-position-horizontal-relative:text;mso-position-vertical:top;mso-position-vertical-relative:text" filled="t">
            <v:fill color2="black"/>
            <v:imagedata r:id="rId4" o:title="" croptop="-129f" cropbottom="-129f" cropleft="-183f" cropright="-183f"/>
            <w10:wrap type="square" side="largest"/>
          </v:shape>
        </w:pict>
      </w:r>
    </w:p>
    <w:p w14:paraId="303BB835" w14:textId="77777777" w:rsidR="00000000" w:rsidRDefault="00CB583C">
      <w:pPr>
        <w:rPr>
          <w:b/>
          <w:bCs/>
        </w:rPr>
      </w:pPr>
    </w:p>
    <w:p w14:paraId="7E1688B7" w14:textId="77777777" w:rsidR="00000000" w:rsidRDefault="00CB583C">
      <w:pPr>
        <w:rPr>
          <w:b/>
          <w:bCs/>
        </w:rPr>
      </w:pPr>
    </w:p>
    <w:p w14:paraId="4187CEEA" w14:textId="77777777" w:rsidR="00000000" w:rsidRDefault="00CB583C">
      <w:pPr>
        <w:rPr>
          <w:b/>
          <w:bCs/>
        </w:rPr>
      </w:pPr>
    </w:p>
    <w:p w14:paraId="1219B95B" w14:textId="77777777" w:rsidR="00000000" w:rsidRDefault="00CB583C">
      <w:pPr>
        <w:rPr>
          <w:b/>
          <w:bCs/>
        </w:rPr>
      </w:pPr>
    </w:p>
    <w:p w14:paraId="7FE8A36F" w14:textId="77777777" w:rsidR="00000000" w:rsidRDefault="00CB583C">
      <w:pPr>
        <w:rPr>
          <w:b/>
          <w:bCs/>
        </w:rPr>
      </w:pPr>
    </w:p>
    <w:p w14:paraId="1AD2CF30" w14:textId="77777777" w:rsidR="00000000" w:rsidRDefault="00CB583C">
      <w:pPr>
        <w:rPr>
          <w:b/>
          <w:bCs/>
        </w:rPr>
      </w:pPr>
    </w:p>
    <w:p w14:paraId="246333A4" w14:textId="77777777" w:rsidR="00000000" w:rsidRDefault="00CB583C">
      <w:r>
        <w:rPr>
          <w:rFonts w:ascii="Calibri" w:hAnsi="Calibri" w:cs="Calibri"/>
          <w:b/>
          <w:bCs/>
        </w:rPr>
        <w:t xml:space="preserve">TAB1. Denunce di infortunio e </w:t>
      </w:r>
      <w:r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  <w:b/>
          <w:bCs/>
        </w:rPr>
        <w:t xml:space="preserve"> infortunio mortale a livello provinciale</w:t>
      </w:r>
    </w:p>
    <w:p w14:paraId="0CC0CDD5" w14:textId="77777777" w:rsidR="00000000" w:rsidRDefault="00CB583C"/>
    <w:tbl>
      <w:tblPr>
        <w:tblW w:w="0" w:type="auto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8"/>
        <w:gridCol w:w="2364"/>
        <w:gridCol w:w="2418"/>
        <w:gridCol w:w="2363"/>
        <w:gridCol w:w="2363"/>
        <w:gridCol w:w="2358"/>
      </w:tblGrid>
      <w:tr w:rsidR="00000000" w14:paraId="013CFA17" w14:textId="77777777">
        <w:tc>
          <w:tcPr>
            <w:tcW w:w="2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A5212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56E3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Infortuni denunciati </w:t>
            </w:r>
          </w:p>
          <w:p w14:paraId="2A91414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2021)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1A40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Infortuni denunciati </w:t>
            </w:r>
          </w:p>
          <w:p w14:paraId="057E374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2020)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1A472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Variazione % infortuni decnunciati </w:t>
            </w:r>
          </w:p>
          <w:p w14:paraId="49285FC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(2021-2020)</w:t>
            </w:r>
          </w:p>
        </w:tc>
        <w:tc>
          <w:tcPr>
            <w:tcW w:w="2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EF79D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Denunce di infortunio mortale </w:t>
            </w:r>
          </w:p>
          <w:p w14:paraId="7A21DC1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021)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050D9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Denunce di infortunio mortale </w:t>
            </w:r>
          </w:p>
          <w:p w14:paraId="5CE6119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2020)</w:t>
            </w:r>
          </w:p>
        </w:tc>
      </w:tr>
      <w:tr w:rsidR="00000000" w14:paraId="7F357192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5302D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Bologna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1050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16.802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B3D8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15.286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84C4A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+9,9%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7A104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CEDE5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000000" w14:paraId="565C4588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2DB6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Ferrara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B912A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4.215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0D8EF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4.176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33AFE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+0,9%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F097B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F872E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00000" w14:paraId="7AAC2C55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E44EC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Forlì-Cesena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AFA5A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6.859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1C9D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6.151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8E0F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+11,5%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BC70B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3C699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00000" w14:paraId="4BE7C278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DAE9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Modena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FBE7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13.829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8B568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12.005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3CE8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+15,2%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6647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98D9C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000000" w14:paraId="2372B209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C564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Parma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5BB3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8.091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8C821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7.305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7033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+10,8%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35FF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B5AB2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000000" w14:paraId="4AEF0755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4BAB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Piacenza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1BE83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4.220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7F80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4.252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3B71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-0,8%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F3687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FC3E4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000000" w14:paraId="6617190F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F92F4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Ravenna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7AA1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6.336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65BC8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5.726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F58E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+10,7%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0223C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237A4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0000" w14:paraId="609ED86B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94CC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Reggio Emilia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7389E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9.177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EE07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8.505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6759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+7,9%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9464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5A91F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000000" w14:paraId="03564C5D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16E5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Rimini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52E7E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4.537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97832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4.410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E464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+2,9%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B01F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F7110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000000" w14:paraId="01F6CE74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C2C1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Totale ER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3E01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74.066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E9CB7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67.816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2F9C1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+9,2%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836AC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A53BD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</w:tr>
      <w:tr w:rsidR="00000000" w14:paraId="03CFDA1A" w14:textId="77777777">
        <w:trPr>
          <w:trHeight w:val="460"/>
        </w:trPr>
        <w:tc>
          <w:tcPr>
            <w:tcW w:w="21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AF61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Totale Italia</w:t>
            </w:r>
          </w:p>
        </w:tc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A04BF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555.236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8F31B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554.340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27A3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+0,2%</w:t>
            </w:r>
          </w:p>
        </w:tc>
        <w:tc>
          <w:tcPr>
            <w:tcW w:w="2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C86AA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1.221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B13F2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1.270</w:t>
            </w:r>
          </w:p>
        </w:tc>
      </w:tr>
    </w:tbl>
    <w:p w14:paraId="57EED200" w14:textId="77777777" w:rsidR="00000000" w:rsidRDefault="00CB583C">
      <w:pPr>
        <w:rPr>
          <w:rFonts w:ascii="Calibri" w:hAnsi="Calibri" w:cs="Calibri"/>
        </w:rPr>
      </w:pPr>
    </w:p>
    <w:p w14:paraId="7FFB352E" w14:textId="77777777" w:rsidR="00000000" w:rsidRDefault="00CB583C">
      <w:pPr>
        <w:rPr>
          <w:rFonts w:ascii="Calibri" w:hAnsi="Calibri" w:cs="Calibri"/>
        </w:rPr>
      </w:pPr>
    </w:p>
    <w:p w14:paraId="633432E0" w14:textId="77777777" w:rsidR="00000000" w:rsidRDefault="00CB583C">
      <w:pPr>
        <w:rPr>
          <w:rFonts w:ascii="Calibri" w:hAnsi="Calibri" w:cs="Calibri"/>
        </w:rPr>
      </w:pPr>
    </w:p>
    <w:p w14:paraId="64909D4E" w14:textId="77777777" w:rsidR="00000000" w:rsidRDefault="00CB583C">
      <w:pPr>
        <w:rPr>
          <w:rFonts w:ascii="Calibri" w:hAnsi="Calibri" w:cs="Calibri"/>
        </w:rPr>
      </w:pPr>
    </w:p>
    <w:p w14:paraId="1AEFA2B0" w14:textId="77777777" w:rsidR="00000000" w:rsidRDefault="00CB583C">
      <w:r>
        <w:rPr>
          <w:rFonts w:ascii="Calibri" w:hAnsi="Calibri" w:cs="Calibri"/>
          <w:b/>
          <w:bCs/>
        </w:rPr>
        <w:t>TAB 2. Denunce di infortunio e infortuni mortali a livello se</w:t>
      </w:r>
      <w:r>
        <w:rPr>
          <w:rFonts w:ascii="Calibri" w:hAnsi="Calibri" w:cs="Calibri"/>
          <w:b/>
          <w:bCs/>
        </w:rPr>
        <w:t>ttoriale in Emilia Romagna (primi 10 settori per numero di infortuni denunciati)</w:t>
      </w:r>
    </w:p>
    <w:p w14:paraId="7640FC3F" w14:textId="77777777" w:rsidR="00000000" w:rsidRDefault="00CB583C"/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2"/>
        <w:gridCol w:w="1701"/>
        <w:gridCol w:w="1701"/>
        <w:gridCol w:w="1984"/>
        <w:gridCol w:w="2127"/>
        <w:gridCol w:w="2294"/>
      </w:tblGrid>
      <w:tr w:rsidR="00000000" w14:paraId="035066E6" w14:textId="77777777">
        <w:trPr>
          <w:jc w:val="right"/>
        </w:trPr>
        <w:tc>
          <w:tcPr>
            <w:tcW w:w="4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9F39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Settore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A21D7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Infortuni denunciati </w:t>
            </w:r>
          </w:p>
          <w:p w14:paraId="1250B6D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2021)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25B4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Infortuni denunciati </w:t>
            </w:r>
          </w:p>
          <w:p w14:paraId="4CF5579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2020)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EF62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Variazione % infortuni denunciati </w:t>
            </w:r>
          </w:p>
          <w:p w14:paraId="53A71BE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(2021-2020)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5403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Denunce di infortunio mortale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(gen-dic 2021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DD174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Denunce di infortunio mortale </w:t>
            </w:r>
          </w:p>
          <w:p w14:paraId="69D3F44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2020)</w:t>
            </w:r>
          </w:p>
        </w:tc>
      </w:tr>
      <w:tr w:rsidR="00000000" w14:paraId="7FC6E135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8441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Sanità e assistenza sociale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A267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5.391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18AF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8.684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8D6F1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-37,9%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A955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705DA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00000" w14:paraId="36FCB8FE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BA97E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Commercio all'ingrosso e al dettaglio; riparazione di veicoli, motocicli e beni personali/della casa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2574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4.925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BA266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4.376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F92A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+12,5%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89358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D8673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00000" w14:paraId="514B1609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51C67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Trasporto e magazzinaggio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375CB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C5C4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3.489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DD9E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+22,5%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E3EC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7B1E6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000000" w14:paraId="3133E6FB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93A5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Costruzioni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5F60F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3.867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16A86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3.370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479A1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+14,7%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EF24F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69216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000000" w14:paraId="03E29D34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0EE3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Agricoltura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30B02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3.700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32DD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3.497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1C71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+5,8%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F298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87E82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000000" w14:paraId="5C96207E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B596B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Metallurgia e fabbricazione di prodotti in metallo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64384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3.339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D1074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2.768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108A2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+22,8%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90DAD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27B6A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00000" w14:paraId="576EC474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9721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Fabbricazione di macchinari ed apparecchiature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4AC0E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2.934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D77B5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2.341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A3AA8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+25,3%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0A79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B9794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00000" w14:paraId="7B839C9C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3754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Industrie ali</w:t>
            </w:r>
            <w:r>
              <w:rPr>
                <w:rFonts w:ascii="Calibri" w:hAnsi="Calibri" w:cs="Calibri"/>
                <w:sz w:val="22"/>
                <w:szCs w:val="22"/>
              </w:rPr>
              <w:t>mentari, delle bevande e del tabacco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67D8A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2.408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F0262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2.115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F5C1E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+13,9%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1C72E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0629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00000" w14:paraId="1FAB4EC5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1C17B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Attività dei servizi di alloggio e ristorazione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C78C4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2.119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E02E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1.805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2006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+17,4%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F5666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65423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00000" w14:paraId="3E66BA5C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993E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Non determinato*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AC424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20.276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6DE6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18.508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3EFBF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+9,6%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632A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E2731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000000" w14:paraId="38D82DF4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8365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Totale ER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185B3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74.066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F9FF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67.816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5800C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+9,2%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1869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3420B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</w:tr>
      <w:tr w:rsidR="00000000" w14:paraId="3D43229F" w14:textId="77777777">
        <w:trPr>
          <w:trHeight w:val="460"/>
          <w:jc w:val="right"/>
        </w:trPr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7ADD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Totale Italia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45CBC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555.236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E64D0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554.340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269A6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+0,2%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FE417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1.22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22B9E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1.270</w:t>
            </w:r>
          </w:p>
        </w:tc>
      </w:tr>
    </w:tbl>
    <w:p w14:paraId="5393F4B8" w14:textId="77777777" w:rsidR="00000000" w:rsidRDefault="00CB583C">
      <w:r>
        <w:rPr>
          <w:rFonts w:ascii="Calibri" w:hAnsi="Calibri" w:cs="Calibri"/>
        </w:rPr>
        <w:t>*N.b.: Sono gli infortuni in cui il settore di attività economica non è individuato nella banca dati INAIL</w:t>
      </w:r>
    </w:p>
    <w:p w14:paraId="6E201134" w14:textId="77777777" w:rsidR="00000000" w:rsidRDefault="00CB583C"/>
    <w:p w14:paraId="5F40FA57" w14:textId="77777777" w:rsidR="00000000" w:rsidRDefault="00CB583C"/>
    <w:p w14:paraId="5AD0BE96" w14:textId="77777777" w:rsidR="00000000" w:rsidRDefault="00CB583C"/>
    <w:p w14:paraId="152C5850" w14:textId="77777777" w:rsidR="00000000" w:rsidRDefault="00CB583C"/>
    <w:p w14:paraId="6144A40A" w14:textId="77777777" w:rsidR="00000000" w:rsidRDefault="00CB583C"/>
    <w:p w14:paraId="21560F91" w14:textId="77777777" w:rsidR="00000000" w:rsidRDefault="00CB583C"/>
    <w:p w14:paraId="7D9FF1C8" w14:textId="77777777" w:rsidR="00000000" w:rsidRDefault="00CB583C">
      <w:r>
        <w:rPr>
          <w:rFonts w:ascii="Calibri" w:hAnsi="Calibri" w:cs="Calibri"/>
          <w:b/>
          <w:bCs/>
        </w:rPr>
        <w:t>TAB 3. Denunce di malattie professionali a livello provinciale</w:t>
      </w:r>
    </w:p>
    <w:p w14:paraId="7C0B8A20" w14:textId="77777777" w:rsidR="00000000" w:rsidRDefault="00CB583C"/>
    <w:tbl>
      <w:tblPr>
        <w:tblW w:w="5000" w:type="pc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4"/>
        <w:gridCol w:w="3446"/>
        <w:gridCol w:w="3262"/>
        <w:gridCol w:w="3358"/>
      </w:tblGrid>
      <w:tr w:rsidR="00000000" w14:paraId="4CBD2D27" w14:textId="77777777">
        <w:tc>
          <w:tcPr>
            <w:tcW w:w="4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BEF338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5A67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Malattie professionali denunciate </w:t>
            </w:r>
          </w:p>
          <w:p w14:paraId="234F745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2021)</w:t>
            </w:r>
          </w:p>
        </w:tc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E796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Malattie 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rofessionali denunciate</w:t>
            </w:r>
          </w:p>
          <w:p w14:paraId="23F3674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(gen-dic 2020)</w:t>
            </w:r>
          </w:p>
        </w:tc>
        <w:tc>
          <w:tcPr>
            <w:tcW w:w="3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CE4EA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Variazione % malattie professionali denunciate</w:t>
            </w:r>
          </w:p>
          <w:p w14:paraId="44AD706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(2021-2020)</w:t>
            </w:r>
          </w:p>
        </w:tc>
      </w:tr>
      <w:tr w:rsidR="00000000" w14:paraId="390441F6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A0AE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Bologna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23D8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1.180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FF418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851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2B27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+38,7%</w:t>
            </w:r>
          </w:p>
        </w:tc>
      </w:tr>
      <w:tr w:rsidR="00000000" w14:paraId="38F9182D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635AF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Ferrara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4FB4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905A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6A7AE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+63,6%</w:t>
            </w:r>
          </w:p>
        </w:tc>
      </w:tr>
      <w:tr w:rsidR="00000000" w14:paraId="2DEACD6B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215BA7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Forlì-Cesena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5DF52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903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53BD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714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A53B9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+26,5%</w:t>
            </w:r>
          </w:p>
        </w:tc>
      </w:tr>
      <w:tr w:rsidR="00000000" w14:paraId="2DD273C2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D74E0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Modena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81E7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547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53AC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492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7CE10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+11,2%</w:t>
            </w:r>
          </w:p>
        </w:tc>
      </w:tr>
      <w:tr w:rsidR="00000000" w14:paraId="0679D554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AFB09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Parma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780C1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404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3408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C07CA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+36%</w:t>
            </w:r>
          </w:p>
        </w:tc>
      </w:tr>
      <w:tr w:rsidR="00000000" w14:paraId="24D293F6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9AAC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Piacenza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19045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C816A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1911F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+71,9%</w:t>
            </w:r>
          </w:p>
        </w:tc>
      </w:tr>
      <w:tr w:rsidR="00000000" w14:paraId="01643D47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3016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Ravenna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ADA9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08F7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493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8CECC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+41,2%</w:t>
            </w:r>
          </w:p>
        </w:tc>
      </w:tr>
      <w:tr w:rsidR="00000000" w14:paraId="4D09F30D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F7BFF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Reggio Emilia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4D01D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1.125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00ABE5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826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CF555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+36,2%</w:t>
            </w:r>
          </w:p>
        </w:tc>
      </w:tr>
      <w:tr w:rsidR="00000000" w14:paraId="3B9D1A5A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E0AA6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Rimini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AB3C60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372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7FFF3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62D54A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+47%</w:t>
            </w:r>
          </w:p>
        </w:tc>
      </w:tr>
      <w:tr w:rsidR="00000000" w14:paraId="1B8F556B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08B774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Totale ER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729EE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5.578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7D65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4.136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F7C00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+34,9%</w:t>
            </w:r>
          </w:p>
        </w:tc>
      </w:tr>
      <w:tr w:rsidR="00000000" w14:paraId="405A7B2D" w14:textId="77777777">
        <w:trPr>
          <w:trHeight w:val="460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CCA12B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Totale Italia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FCA69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55.288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14E52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45.023</w:t>
            </w: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A8D0AE" w14:textId="77777777" w:rsidR="00000000" w:rsidRDefault="00CB583C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+22,8%</w:t>
            </w:r>
          </w:p>
        </w:tc>
      </w:tr>
    </w:tbl>
    <w:p w14:paraId="6A3450A0" w14:textId="77777777" w:rsidR="00CB583C" w:rsidRDefault="00CB583C"/>
    <w:sectPr w:rsidR="00CB583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888"/>
    <w:rsid w:val="00BA1888"/>
    <w:rsid w:val="00CB583C"/>
    <w:rsid w:val="00D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EF9929"/>
  <w15:chartTrackingRefBased/>
  <w15:docId w15:val="{FAC6C11D-5BC8-4974-8815-8D9770A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imes New Roman"/>
      <w:lang w:bidi="ar-S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7285"/>
        <w:tab w:val="right" w:pos="14570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Fontani</dc:creator>
  <cp:keywords/>
  <cp:lastModifiedBy>Marcello Tassi</cp:lastModifiedBy>
  <cp:revision>2</cp:revision>
  <cp:lastPrinted>1995-11-21T16:41:00Z</cp:lastPrinted>
  <dcterms:created xsi:type="dcterms:W3CDTF">2022-03-10T11:39:00Z</dcterms:created>
  <dcterms:modified xsi:type="dcterms:W3CDTF">2022-03-10T11:39:00Z</dcterms:modified>
</cp:coreProperties>
</file>