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Chi non si vaccina rischia mediamente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5 volte di più</w:t>
      </w:r>
      <w:r>
        <w:rPr>
          <w:rFonts w:ascii="Helvetica" w:hAnsi="Helvetica" w:cs="Helvetica"/>
          <w:color w:val="1C2024"/>
          <w:sz w:val="23"/>
          <w:szCs w:val="23"/>
        </w:rPr>
        <w:t>, rispetto a chi è vaccinato, di contrarre l’infezione da SARS-Cov-2. Non solo: rischia molto di più (un numero che varia dalle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9 alle 13 volte</w:t>
      </w:r>
      <w:r>
        <w:rPr>
          <w:rFonts w:ascii="Helvetica" w:hAnsi="Helvetica" w:cs="Helvetica"/>
          <w:color w:val="1C2024"/>
          <w:sz w:val="23"/>
          <w:szCs w:val="23"/>
        </w:rPr>
        <w:t>) di essere ricoverato in ospedale.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 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Nonostante la presenza della variante Delta, si conferma il fatto che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i vaccini funzionano</w:t>
      </w:r>
      <w:r>
        <w:rPr>
          <w:rFonts w:ascii="Helvetica" w:hAnsi="Helvetica" w:cs="Helvetica"/>
          <w:color w:val="1C2024"/>
          <w:sz w:val="23"/>
          <w:szCs w:val="23"/>
        </w:rPr>
        <w:t>. Molto elevata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l’efficacia </w:t>
      </w:r>
      <w:r>
        <w:rPr>
          <w:rFonts w:ascii="Helvetica" w:hAnsi="Helvetica" w:cs="Helvetica"/>
          <w:color w:val="1C2024"/>
          <w:sz w:val="23"/>
          <w:szCs w:val="23"/>
        </w:rPr>
        <w:t>in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Emilia-Romagna</w:t>
      </w:r>
      <w:r>
        <w:rPr>
          <w:rFonts w:ascii="Helvetica" w:hAnsi="Helvetica" w:cs="Helvetica"/>
          <w:color w:val="1C2024"/>
          <w:sz w:val="23"/>
          <w:szCs w:val="23"/>
        </w:rPr>
        <w:t>: superiore all’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86% </w:t>
      </w:r>
      <w:r>
        <w:rPr>
          <w:rFonts w:ascii="Helvetica" w:hAnsi="Helvetica" w:cs="Helvetica"/>
          <w:color w:val="1C2024"/>
          <w:sz w:val="23"/>
          <w:szCs w:val="23"/>
        </w:rPr>
        <w:t>contro il rischio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infezioni</w:t>
      </w:r>
      <w:r>
        <w:rPr>
          <w:rFonts w:ascii="Helvetica" w:hAnsi="Helvetica" w:cs="Helvetica"/>
          <w:color w:val="1C2024"/>
          <w:sz w:val="23"/>
          <w:szCs w:val="23"/>
        </w:rPr>
        <w:t>, pari al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93,6% </w:t>
      </w:r>
      <w:r>
        <w:rPr>
          <w:rFonts w:ascii="Helvetica" w:hAnsi="Helvetica" w:cs="Helvetica"/>
          <w:color w:val="1C2024"/>
          <w:sz w:val="23"/>
          <w:szCs w:val="23"/>
        </w:rPr>
        <w:t>nella prevenzione dei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ricoveri </w:t>
      </w:r>
      <w:r>
        <w:rPr>
          <w:rFonts w:ascii="Helvetica" w:hAnsi="Helvetica" w:cs="Helvetica"/>
          <w:color w:val="1C2024"/>
          <w:sz w:val="23"/>
          <w:szCs w:val="23"/>
        </w:rPr>
        <w:t>(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al 96,2%</w:t>
      </w:r>
      <w:r>
        <w:rPr>
          <w:rFonts w:ascii="Helvetica" w:hAnsi="Helvetica" w:cs="Helvetica"/>
          <w:color w:val="1C2024"/>
          <w:sz w:val="23"/>
          <w:szCs w:val="23"/>
        </w:rPr>
        <w:t> per quelli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in terapia intensiva</w:t>
      </w:r>
      <w:r>
        <w:rPr>
          <w:rFonts w:ascii="Helvetica" w:hAnsi="Helvetica" w:cs="Helvetica"/>
          <w:color w:val="1C2024"/>
          <w:sz w:val="23"/>
          <w:szCs w:val="23"/>
        </w:rPr>
        <w:t>) e al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95%</w:t>
      </w:r>
      <w:r>
        <w:rPr>
          <w:rFonts w:ascii="Helvetica" w:hAnsi="Helvetica" w:cs="Helvetica"/>
          <w:color w:val="1C2024"/>
          <w:sz w:val="23"/>
          <w:szCs w:val="23"/>
        </w:rPr>
        <w:t> per 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decessi</w:t>
      </w:r>
      <w:r>
        <w:rPr>
          <w:rFonts w:ascii="Helvetica" w:hAnsi="Helvetica" w:cs="Helvetica"/>
          <w:color w:val="1C2024"/>
          <w:sz w:val="23"/>
          <w:szCs w:val="23"/>
        </w:rPr>
        <w:t>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È, in estrema sintesi, la conclusione cui giunge il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nuovo monitoraggio</w:t>
      </w:r>
      <w:r>
        <w:rPr>
          <w:rFonts w:ascii="Helvetica" w:hAnsi="Helvetica" w:cs="Helvetica"/>
          <w:color w:val="1C2024"/>
          <w:sz w:val="23"/>
          <w:szCs w:val="23"/>
        </w:rPr>
        <w:t> (relativo al mese di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agosto</w:t>
      </w:r>
      <w:r>
        <w:rPr>
          <w:rFonts w:ascii="Helvetica" w:hAnsi="Helvetica" w:cs="Helvetica"/>
          <w:color w:val="1C2024"/>
          <w:sz w:val="23"/>
          <w:szCs w:val="23"/>
        </w:rPr>
        <w:t>) dell’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Agenzia Sanitaria e Sociale </w:t>
      </w:r>
      <w:r>
        <w:rPr>
          <w:rFonts w:ascii="Helvetica" w:hAnsi="Helvetica" w:cs="Helvetica"/>
          <w:color w:val="1C2024"/>
          <w:sz w:val="23"/>
          <w:szCs w:val="23"/>
        </w:rPr>
        <w:t>dell’Emilia-Romagna, relativamente all’impatto della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campagna vaccinale </w:t>
      </w:r>
      <w:r>
        <w:rPr>
          <w:rFonts w:ascii="Helvetica" w:hAnsi="Helvetica" w:cs="Helvetica"/>
          <w:color w:val="1C2024"/>
          <w:sz w:val="23"/>
          <w:szCs w:val="23"/>
        </w:rPr>
        <w:t>sulla popolazione emiliano-romagnola. Quante volte rischiano di ammalarsi di più coloro che non si sono vaccinati? Quante volte è più probabile che vadano in ospedale? Come già nell’edizione precedente, anche dal nuovo report emergono ulteriori prove dell’efficacia dei vaccini nel proteggere dall’infezione da SARS-Cov-2 - in tutti i casi, in casi che comportano il ricovero in reparti Covid ordinari, in casi che richiedono il ricovero in unità di terapia intensiva, in casi associati a decesso -, per le diverse categorie vaccinali, e dopo la somministrazione della prima e della seconda dose di vaccino.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Le persone coinvolte nell’analisi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La platea inclusa nell’analisi comprende i vaccinati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fino al 30 giugno 2021</w:t>
      </w:r>
      <w:r>
        <w:rPr>
          <w:rFonts w:ascii="Helvetica" w:hAnsi="Helvetica" w:cs="Helvetica"/>
          <w:color w:val="1C2024"/>
          <w:sz w:val="23"/>
          <w:szCs w:val="23"/>
        </w:rPr>
        <w:t>, in totale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2.398.313 cittadini</w:t>
      </w:r>
      <w:r>
        <w:rPr>
          <w:rFonts w:ascii="Helvetica" w:hAnsi="Helvetica" w:cs="Helvetica"/>
          <w:color w:val="1C2024"/>
          <w:sz w:val="23"/>
          <w:szCs w:val="23"/>
        </w:rPr>
        <w:t>. Al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31 agosto</w:t>
      </w:r>
      <w:r>
        <w:rPr>
          <w:rFonts w:ascii="Helvetica" w:hAnsi="Helvetica" w:cs="Helvetica"/>
          <w:color w:val="1C2024"/>
          <w:sz w:val="23"/>
          <w:szCs w:val="23"/>
        </w:rPr>
        <w:t> i vaccinati con almeno una dose in Emilia-Romagna sono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più di 3,2 milioni</w:t>
      </w:r>
      <w:r>
        <w:rPr>
          <w:rFonts w:ascii="Helvetica" w:hAnsi="Helvetica" w:cs="Helvetica"/>
          <w:color w:val="1C2024"/>
          <w:sz w:val="23"/>
          <w:szCs w:val="23"/>
        </w:rPr>
        <w:t>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Monitoraggio della campagna vaccinale in Emilia-Romagna, mese di agosto 2021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Rispetto ai dati relativi al 30 giugno, lo studio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conferma</w:t>
      </w:r>
      <w:r>
        <w:rPr>
          <w:rFonts w:ascii="Helvetica" w:hAnsi="Helvetica" w:cs="Helvetica"/>
          <w:color w:val="1C2024"/>
          <w:sz w:val="23"/>
          <w:szCs w:val="23"/>
        </w:rPr>
        <w:t> la capacità di tutti i vaccini di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ridurre in modo molto significativo</w:t>
      </w:r>
      <w:r>
        <w:rPr>
          <w:rFonts w:ascii="Helvetica" w:hAnsi="Helvetica" w:cs="Helvetica"/>
          <w:color w:val="1C2024"/>
          <w:sz w:val="23"/>
          <w:szCs w:val="23"/>
        </w:rPr>
        <w:t> il rischio di contrarre un’infezione, essere ricoverati (sia in reparti Covid che in terapia intensiva) e morire in seguito all’infezione: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l’efficacia media </w:t>
      </w:r>
      <w:r>
        <w:rPr>
          <w:rFonts w:ascii="Helvetica" w:hAnsi="Helvetica" w:cs="Helvetica"/>
          <w:color w:val="1C2024"/>
          <w:sz w:val="23"/>
          <w:szCs w:val="23"/>
        </w:rPr>
        <w:t>dopo il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completamento del ciclo vaccinale </w:t>
      </w:r>
      <w:r>
        <w:rPr>
          <w:rFonts w:ascii="Helvetica" w:hAnsi="Helvetica" w:cs="Helvetica"/>
          <w:color w:val="1C2024"/>
          <w:sz w:val="23"/>
          <w:szCs w:val="23"/>
        </w:rPr>
        <w:t>nel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prevenire le infezioni</w:t>
      </w:r>
      <w:r>
        <w:rPr>
          <w:rFonts w:ascii="Helvetica" w:hAnsi="Helvetica" w:cs="Helvetica"/>
          <w:color w:val="1C2024"/>
          <w:sz w:val="23"/>
          <w:szCs w:val="23"/>
        </w:rPr>
        <w:t> si mantiene superiore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all’86% </w:t>
      </w:r>
      <w:r>
        <w:rPr>
          <w:rFonts w:ascii="Helvetica" w:hAnsi="Helvetica" w:cs="Helvetica"/>
          <w:color w:val="1C2024"/>
          <w:sz w:val="23"/>
          <w:szCs w:val="23"/>
        </w:rPr>
        <w:t>(con una leggera riduzione pari al 3,6% rispetto al monitoraggio al 30 giugno, spiegabile con l’impatto della variante Delta).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Quasi immutata </w:t>
      </w:r>
      <w:r>
        <w:rPr>
          <w:rFonts w:ascii="Helvetica" w:hAnsi="Helvetica" w:cs="Helvetica"/>
          <w:color w:val="1C2024"/>
          <w:sz w:val="23"/>
          <w:szCs w:val="23"/>
        </w:rPr>
        <w:t>l’efficacia nel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prevenire i ricoveri</w:t>
      </w:r>
      <w:r>
        <w:rPr>
          <w:rFonts w:ascii="Helvetica" w:hAnsi="Helvetica" w:cs="Helvetica"/>
          <w:color w:val="1C2024"/>
          <w:sz w:val="23"/>
          <w:szCs w:val="23"/>
        </w:rPr>
        <w:t>, che è pari al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93,6%</w:t>
      </w:r>
      <w:r>
        <w:rPr>
          <w:rFonts w:ascii="Helvetica" w:hAnsi="Helvetica" w:cs="Helvetica"/>
          <w:color w:val="1C2024"/>
          <w:sz w:val="23"/>
          <w:szCs w:val="23"/>
        </w:rPr>
        <w:t>; resta elevata anche la protezione nei confronti dei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ricoveri in terapia intensiva </w:t>
      </w:r>
      <w:r>
        <w:rPr>
          <w:rFonts w:ascii="Helvetica" w:hAnsi="Helvetica" w:cs="Helvetica"/>
          <w:color w:val="1C2024"/>
          <w:sz w:val="23"/>
          <w:szCs w:val="23"/>
        </w:rPr>
        <w:t>(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96,2%</w:t>
      </w:r>
      <w:r>
        <w:rPr>
          <w:rFonts w:ascii="Helvetica" w:hAnsi="Helvetica" w:cs="Helvetica"/>
          <w:color w:val="1C2024"/>
          <w:sz w:val="23"/>
          <w:szCs w:val="23"/>
        </w:rPr>
        <w:t>) e dei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decessi </w:t>
      </w:r>
      <w:r>
        <w:rPr>
          <w:rFonts w:ascii="Helvetica" w:hAnsi="Helvetica" w:cs="Helvetica"/>
          <w:color w:val="1C2024"/>
          <w:sz w:val="23"/>
          <w:szCs w:val="23"/>
        </w:rPr>
        <w:t>(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95%</w:t>
      </w:r>
      <w:r>
        <w:rPr>
          <w:rFonts w:ascii="Helvetica" w:hAnsi="Helvetica" w:cs="Helvetica"/>
          <w:color w:val="1C2024"/>
          <w:sz w:val="23"/>
          <w:szCs w:val="23"/>
        </w:rPr>
        <w:t>).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L’efficacia del vaccino si mantiene elevata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nel tempo</w:t>
      </w:r>
      <w:r>
        <w:rPr>
          <w:rFonts w:ascii="Helvetica" w:hAnsi="Helvetica" w:cs="Helvetica"/>
          <w:color w:val="1C2024"/>
          <w:sz w:val="23"/>
          <w:szCs w:val="23"/>
        </w:rPr>
        <w:t>: il follow-up post-vaccinazione, che allo stato attuale arriva fino a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7 mesi</w:t>
      </w:r>
      <w:r>
        <w:rPr>
          <w:rFonts w:ascii="Helvetica" w:hAnsi="Helvetica" w:cs="Helvetica"/>
          <w:color w:val="1C2024"/>
          <w:sz w:val="23"/>
          <w:szCs w:val="23"/>
        </w:rPr>
        <w:t>, mostra come sia ancora superiore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all’80%</w:t>
      </w:r>
      <w:r>
        <w:rPr>
          <w:rFonts w:ascii="Helvetica" w:hAnsi="Helvetica" w:cs="Helvetica"/>
          <w:color w:val="1C2024"/>
          <w:sz w:val="23"/>
          <w:szCs w:val="23"/>
        </w:rPr>
        <w:t> nei confronti delle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infezioni</w:t>
      </w:r>
      <w:r>
        <w:rPr>
          <w:rFonts w:ascii="Helvetica" w:hAnsi="Helvetica" w:cs="Helvetica"/>
          <w:color w:val="1C2024"/>
          <w:sz w:val="23"/>
          <w:szCs w:val="23"/>
        </w:rPr>
        <w:t> e del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94%</w:t>
      </w:r>
      <w:r>
        <w:rPr>
          <w:rFonts w:ascii="Helvetica" w:hAnsi="Helvetica" w:cs="Helvetica"/>
          <w:color w:val="1C2024"/>
          <w:sz w:val="23"/>
          <w:szCs w:val="23"/>
        </w:rPr>
        <w:t> nei confronti dei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ricoveri ospedalieri</w:t>
      </w:r>
      <w:r>
        <w:rPr>
          <w:rFonts w:ascii="Helvetica" w:hAnsi="Helvetica" w:cs="Helvetica"/>
          <w:color w:val="1C2024"/>
          <w:sz w:val="23"/>
          <w:szCs w:val="23"/>
        </w:rPr>
        <w:t>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Al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completamento del ciclo vaccinale</w:t>
      </w:r>
      <w:r>
        <w:rPr>
          <w:rFonts w:ascii="Helvetica" w:hAnsi="Helvetica" w:cs="Helvetica"/>
          <w:color w:val="1C2024"/>
          <w:sz w:val="23"/>
          <w:szCs w:val="23"/>
        </w:rPr>
        <w:t>,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l’efficacia </w:t>
      </w:r>
      <w:r>
        <w:rPr>
          <w:rFonts w:ascii="Helvetica" w:hAnsi="Helvetica" w:cs="Helvetica"/>
          <w:color w:val="1C2024"/>
          <w:sz w:val="23"/>
          <w:szCs w:val="23"/>
        </w:rPr>
        <w:t>è elevata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negli operatori sanitari e negli anziani </w:t>
      </w:r>
      <w:r>
        <w:rPr>
          <w:rFonts w:ascii="Helvetica" w:hAnsi="Helvetica" w:cs="Helvetica"/>
          <w:color w:val="1C2024"/>
          <w:sz w:val="23"/>
          <w:szCs w:val="23"/>
        </w:rPr>
        <w:t>residenti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in strutture residenziali</w:t>
      </w:r>
      <w:r>
        <w:rPr>
          <w:rFonts w:ascii="Helvetica" w:hAnsi="Helvetica" w:cs="Helvetica"/>
          <w:color w:val="1C2024"/>
          <w:sz w:val="23"/>
          <w:szCs w:val="23"/>
        </w:rPr>
        <w:t>, le prime due categorie ad essere state vaccinate; in ambedue i casi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l’efficacia media nel periodo è intorno al 91-92%</w:t>
      </w:r>
      <w:r>
        <w:rPr>
          <w:rFonts w:ascii="Helvetica" w:hAnsi="Helvetica" w:cs="Helvetica"/>
          <w:color w:val="1C2024"/>
          <w:sz w:val="23"/>
          <w:szCs w:val="23"/>
        </w:rPr>
        <w:t>, anche se per gli operatori sanitari si riduce all’83% nell’ultima settimana di follow-up, mentre per gli ospiti delle Case Residenza Anziani (CRA) si osservano oscillazioni delle ultime 3-4 settimane che vanno dall’88% al 96%.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Incidenza di infezioni e ricoveri negli ultimi due mesi tra non vaccinati e vaccinati. L’analisi del rischio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Nel complesso,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tra fine giugno </w:t>
      </w:r>
      <w:r>
        <w:rPr>
          <w:rFonts w:ascii="Helvetica" w:hAnsi="Helvetica" w:cs="Helvetica"/>
          <w:color w:val="1C2024"/>
          <w:sz w:val="23"/>
          <w:szCs w:val="23"/>
        </w:rPr>
        <w:t>e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fine agosto l’incidenza di infezioni e ricoveri </w:t>
      </w:r>
      <w:r>
        <w:rPr>
          <w:rFonts w:ascii="Helvetica" w:hAnsi="Helvetica" w:cs="Helvetica"/>
          <w:color w:val="1C2024"/>
          <w:sz w:val="23"/>
          <w:szCs w:val="23"/>
        </w:rPr>
        <w:t>nella popolazione emiliano-romagnola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 xml:space="preserve"> è molto più elevata nei non vaccinati che nei 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lastRenderedPageBreak/>
        <w:t>vaccinati </w:t>
      </w:r>
      <w:r>
        <w:rPr>
          <w:rFonts w:ascii="Helvetica" w:hAnsi="Helvetica" w:cs="Helvetica"/>
          <w:color w:val="1C2024"/>
          <w:sz w:val="23"/>
          <w:szCs w:val="23"/>
        </w:rPr>
        <w:t>anche se, in ambedue le categorie, si osserva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un aumento </w:t>
      </w:r>
      <w:r>
        <w:rPr>
          <w:rFonts w:ascii="Helvetica" w:hAnsi="Helvetica" w:cs="Helvetica"/>
          <w:color w:val="1C2024"/>
          <w:sz w:val="23"/>
          <w:szCs w:val="23"/>
        </w:rPr>
        <w:t>dell’incidenza di infezioni e di ricoveri nella parte finale del periodo considerato,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ma non per le infezioni che comportano il ricovero in terapia intensiva nei vaccinati</w:t>
      </w:r>
      <w:r>
        <w:rPr>
          <w:rFonts w:ascii="Helvetica" w:hAnsi="Helvetica" w:cs="Helvetica"/>
          <w:color w:val="1C2024"/>
          <w:sz w:val="23"/>
          <w:szCs w:val="23"/>
        </w:rPr>
        <w:t>: per questi ultimi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rimane contenuta</w:t>
      </w:r>
      <w:r>
        <w:rPr>
          <w:rFonts w:ascii="Helvetica" w:hAnsi="Helvetica" w:cs="Helvetica"/>
          <w:color w:val="1C2024"/>
          <w:sz w:val="23"/>
          <w:szCs w:val="23"/>
        </w:rPr>
        <w:t>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L’analisi per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classe di età </w:t>
      </w:r>
      <w:r>
        <w:rPr>
          <w:rFonts w:ascii="Helvetica" w:hAnsi="Helvetica" w:cs="Helvetica"/>
          <w:color w:val="1C2024"/>
          <w:sz w:val="23"/>
          <w:szCs w:val="23"/>
        </w:rPr>
        <w:t>mostra che, nelle ultime 4 settimane,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l’incidenza di infezioni è molto elevata </w:t>
      </w:r>
      <w:r>
        <w:rPr>
          <w:rFonts w:ascii="Helvetica" w:hAnsi="Helvetica" w:cs="Helvetica"/>
          <w:color w:val="1C2024"/>
          <w:sz w:val="23"/>
          <w:szCs w:val="23"/>
        </w:rPr>
        <w:t>soprattutto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nei giovani non vaccinati </w:t>
      </w:r>
      <w:r>
        <w:rPr>
          <w:rFonts w:ascii="Helvetica" w:hAnsi="Helvetica" w:cs="Helvetica"/>
          <w:color w:val="1C2024"/>
          <w:sz w:val="23"/>
          <w:szCs w:val="23"/>
        </w:rPr>
        <w:t>(12-39 anni), mentre quella di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ricoveri in reparti Covid-19 </w:t>
      </w:r>
      <w:r>
        <w:rPr>
          <w:rFonts w:ascii="Helvetica" w:hAnsi="Helvetica" w:cs="Helvetica"/>
          <w:color w:val="1C2024"/>
          <w:sz w:val="23"/>
          <w:szCs w:val="23"/>
        </w:rPr>
        <w:t>e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in terapia intensiva è elevata soprattutto nella classe di età 60-79 anni </w:t>
      </w:r>
      <w:r>
        <w:rPr>
          <w:rFonts w:ascii="Helvetica" w:hAnsi="Helvetica" w:cs="Helvetica"/>
          <w:color w:val="1C2024"/>
          <w:sz w:val="23"/>
          <w:szCs w:val="23"/>
        </w:rPr>
        <w:t>e interessa in modo preponderante 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non vaccinati.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L’analisi per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fragilità clinica </w:t>
      </w:r>
      <w:r>
        <w:rPr>
          <w:rFonts w:ascii="Helvetica" w:hAnsi="Helvetica" w:cs="Helvetica"/>
          <w:color w:val="1C2024"/>
          <w:sz w:val="23"/>
          <w:szCs w:val="23"/>
        </w:rPr>
        <w:t>(secondo la classificazione RiskER) mostra come l’incidenza di infezioni sia molto elevata soprattutto nelle persone a basso rischio non vaccinate, mentre l’incidenza di ricoveri in reparti Covid-19 e in terapia intensiva sia elevata soprattutto nelle persone a medio ed alto rischio non vaccinate.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Il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rischio</w:t>
      </w:r>
      <w:r>
        <w:rPr>
          <w:rFonts w:ascii="Helvetica" w:hAnsi="Helvetica" w:cs="Helvetica"/>
          <w:color w:val="1C2024"/>
          <w:sz w:val="23"/>
          <w:szCs w:val="23"/>
        </w:rPr>
        <w:t> relativo di infezione, ricovero in reparto e ricovero in terapia intensiva nei non vaccinati nelle ultime 4 settimane, standardizzato per età e classe di rischio RiskER, mostra come sia mediamente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circa 5 volte maggiore (di infettarsi) rispetto ai vaccinati</w:t>
      </w:r>
      <w:r>
        <w:rPr>
          <w:rFonts w:ascii="Helvetica" w:hAnsi="Helvetica" w:cs="Helvetica"/>
          <w:color w:val="1C2024"/>
          <w:sz w:val="23"/>
          <w:szCs w:val="23"/>
        </w:rPr>
        <w:t>. Il rischio di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ricovero in ospedale è tra 9 e 13 volte maggiore </w:t>
      </w:r>
      <w:r>
        <w:rPr>
          <w:rFonts w:ascii="Helvetica" w:hAnsi="Helvetica" w:cs="Helvetica"/>
          <w:color w:val="1C2024"/>
          <w:sz w:val="23"/>
          <w:szCs w:val="23"/>
        </w:rPr>
        <w:t>nei noi vaccinati a seconda della settimana considerata. Per quanto riguarda i ricoveri in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terapia intensiva, il rischio è sempre molto più elevato per i non vaccinati, </w:t>
      </w:r>
      <w:r>
        <w:rPr>
          <w:rFonts w:ascii="Helvetica" w:hAnsi="Helvetica" w:cs="Helvetica"/>
          <w:color w:val="1C2024"/>
          <w:sz w:val="23"/>
          <w:szCs w:val="23"/>
        </w:rPr>
        <w:t>con una stima puntuale che è costantemente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 superiore a 10 volte </w:t>
      </w:r>
      <w:r>
        <w:rPr>
          <w:rFonts w:ascii="Helvetica" w:hAnsi="Helvetica" w:cs="Helvetica"/>
          <w:color w:val="1C2024"/>
          <w:sz w:val="23"/>
          <w:szCs w:val="23"/>
        </w:rPr>
        <w:t>nelle quattro settimane.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I decessi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Nelle ultime 4 settimane sono stati rilevati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34 decessi</w:t>
      </w:r>
      <w:r>
        <w:rPr>
          <w:rFonts w:ascii="Helvetica" w:hAnsi="Helvetica" w:cs="Helvetica"/>
          <w:color w:val="1C2024"/>
          <w:sz w:val="23"/>
          <w:szCs w:val="23"/>
        </w:rPr>
        <w:t>, di cui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20</w:t>
      </w:r>
      <w:r>
        <w:rPr>
          <w:rFonts w:ascii="Helvetica" w:hAnsi="Helvetica" w:cs="Helvetica"/>
          <w:color w:val="1C2024"/>
          <w:sz w:val="23"/>
          <w:szCs w:val="23"/>
        </w:rPr>
        <w:t> nella popolazione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over 80</w:t>
      </w:r>
      <w:r>
        <w:rPr>
          <w:rFonts w:ascii="Helvetica" w:hAnsi="Helvetica" w:cs="Helvetica"/>
          <w:color w:val="1C2024"/>
          <w:sz w:val="23"/>
          <w:szCs w:val="23"/>
        </w:rPr>
        <w:t>. I restanti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14 </w:t>
      </w:r>
      <w:r>
        <w:rPr>
          <w:rFonts w:ascii="Helvetica" w:hAnsi="Helvetica" w:cs="Helvetica"/>
          <w:color w:val="1C2024"/>
          <w:sz w:val="23"/>
          <w:szCs w:val="23"/>
        </w:rPr>
        <w:t>decessi hanno riguardato la classe di età 60-79 anni: l’incidenza di decesso è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5,8 volte superiore</w:t>
      </w:r>
      <w:r>
        <w:rPr>
          <w:rFonts w:ascii="Helvetica" w:hAnsi="Helvetica" w:cs="Helvetica"/>
          <w:color w:val="1C2024"/>
          <w:sz w:val="23"/>
          <w:szCs w:val="23"/>
        </w:rPr>
        <w:t> nei non vaccinati rispetto ai vaccinati.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La campagna vaccinale: percentuali di copertura ad oggi per fasce d’età, prima e seconda dose</w:t>
      </w:r>
    </w:p>
    <w:p w:rsidR="00146E02" w:rsidRDefault="00146E02" w:rsidP="00146E02">
      <w:pPr>
        <w:pStyle w:val="NormaleWeb"/>
        <w:shd w:val="clear" w:color="auto" w:fill="FFFFFF"/>
        <w:rPr>
          <w:rFonts w:ascii="Helvetica" w:hAnsi="Helvetica" w:cs="Helvetica"/>
          <w:color w:val="1C2024"/>
          <w:sz w:val="23"/>
          <w:szCs w:val="23"/>
        </w:rPr>
      </w:pPr>
      <w:r>
        <w:rPr>
          <w:rFonts w:ascii="Helvetica" w:hAnsi="Helvetica" w:cs="Helvetica"/>
          <w:color w:val="1C2024"/>
          <w:sz w:val="23"/>
          <w:szCs w:val="23"/>
        </w:rPr>
        <w:t>Continua la campagna vaccinale in Emilia-Romagna, con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l’81,4% degli over 12</w:t>
      </w:r>
      <w:r>
        <w:rPr>
          <w:rFonts w:ascii="Helvetica" w:hAnsi="Helvetica" w:cs="Helvetica"/>
          <w:color w:val="1C2024"/>
          <w:sz w:val="23"/>
          <w:szCs w:val="23"/>
        </w:rPr>
        <w:t> che ha già ricevuto la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prima dose</w:t>
      </w:r>
      <w:r>
        <w:rPr>
          <w:rFonts w:ascii="Helvetica" w:hAnsi="Helvetica" w:cs="Helvetica"/>
          <w:color w:val="1C2024"/>
          <w:sz w:val="23"/>
          <w:szCs w:val="23"/>
        </w:rPr>
        <w:t> e il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71,6% che ha completato il ciclo</w:t>
      </w:r>
      <w:r>
        <w:rPr>
          <w:rFonts w:ascii="Helvetica" w:hAnsi="Helvetica" w:cs="Helvetica"/>
          <w:color w:val="1C2024"/>
          <w:sz w:val="23"/>
          <w:szCs w:val="23"/>
        </w:rPr>
        <w:t>. In particolare, queste le percentuali di copertura per fasce d’età: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12-19 anni</w:t>
      </w:r>
      <w:r>
        <w:rPr>
          <w:rFonts w:ascii="Helvetica" w:hAnsi="Helvetica" w:cs="Helvetica"/>
          <w:color w:val="1C2024"/>
          <w:sz w:val="23"/>
          <w:szCs w:val="23"/>
        </w:rPr>
        <w:t>, prima dose 62,8% e seconda dose 40%;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fascia 20-29</w:t>
      </w:r>
      <w:r>
        <w:rPr>
          <w:rFonts w:ascii="Helvetica" w:hAnsi="Helvetica" w:cs="Helvetica"/>
          <w:color w:val="1C2024"/>
          <w:sz w:val="23"/>
          <w:szCs w:val="23"/>
        </w:rPr>
        <w:t>, prima dose 79,2% e seconda 56%;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30-39 anni</w:t>
      </w:r>
      <w:r>
        <w:rPr>
          <w:rFonts w:ascii="Helvetica" w:hAnsi="Helvetica" w:cs="Helvetica"/>
          <w:color w:val="1C2024"/>
          <w:sz w:val="23"/>
          <w:szCs w:val="23"/>
        </w:rPr>
        <w:t> 72,4% prima e 55,8% seconda;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40-49 anni</w:t>
      </w:r>
      <w:r>
        <w:rPr>
          <w:rFonts w:ascii="Helvetica" w:hAnsi="Helvetica" w:cs="Helvetica"/>
          <w:color w:val="1C2024"/>
          <w:sz w:val="23"/>
          <w:szCs w:val="23"/>
        </w:rPr>
        <w:t> 74% e 63,9%;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50-59 anni</w:t>
      </w:r>
      <w:r>
        <w:rPr>
          <w:rFonts w:ascii="Helvetica" w:hAnsi="Helvetica" w:cs="Helvetica"/>
          <w:color w:val="1C2024"/>
          <w:sz w:val="23"/>
          <w:szCs w:val="23"/>
        </w:rPr>
        <w:t> 82,8% prima e 77,4% seconda;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60-69 anni</w:t>
      </w:r>
      <w:r>
        <w:rPr>
          <w:rFonts w:ascii="Helvetica" w:hAnsi="Helvetica" w:cs="Helvetica"/>
          <w:color w:val="1C2024"/>
          <w:sz w:val="23"/>
          <w:szCs w:val="23"/>
        </w:rPr>
        <w:t> 88,4% prima e 86% seconda;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70-79 anni</w:t>
      </w:r>
      <w:r>
        <w:rPr>
          <w:rFonts w:ascii="Helvetica" w:hAnsi="Helvetica" w:cs="Helvetica"/>
          <w:color w:val="1C2024"/>
          <w:sz w:val="23"/>
          <w:szCs w:val="23"/>
        </w:rPr>
        <w:t> 92,6% prima e 90,7% seconda; </w:t>
      </w:r>
      <w:r>
        <w:rPr>
          <w:rStyle w:val="Enfasigrassetto"/>
          <w:rFonts w:ascii="Helvetica" w:hAnsi="Helvetica" w:cs="Helvetica"/>
          <w:color w:val="1C2024"/>
          <w:sz w:val="23"/>
          <w:szCs w:val="23"/>
        </w:rPr>
        <w:t>over 80</w:t>
      </w:r>
      <w:r>
        <w:rPr>
          <w:rFonts w:ascii="Helvetica" w:hAnsi="Helvetica" w:cs="Helvetica"/>
          <w:color w:val="1C2024"/>
          <w:sz w:val="23"/>
          <w:szCs w:val="23"/>
        </w:rPr>
        <w:t>: 99,3% prima dose e 97,4% seconda. </w:t>
      </w:r>
    </w:p>
    <w:p w:rsidR="00172781" w:rsidRDefault="00172781">
      <w:bookmarkStart w:id="0" w:name="_GoBack"/>
      <w:bookmarkEnd w:id="0"/>
    </w:p>
    <w:sectPr w:rsidR="00172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02"/>
    <w:rsid w:val="00146E02"/>
    <w:rsid w:val="001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6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4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2</cp:revision>
  <dcterms:created xsi:type="dcterms:W3CDTF">2021-09-02T11:42:00Z</dcterms:created>
  <dcterms:modified xsi:type="dcterms:W3CDTF">2021-09-02T11:42:00Z</dcterms:modified>
</cp:coreProperties>
</file>