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9B" w:rsidRPr="009A6988" w:rsidRDefault="0090729B" w:rsidP="0090729B">
      <w:pPr>
        <w:spacing w:after="0" w:line="276" w:lineRule="auto"/>
        <w:jc w:val="center"/>
        <w:rPr>
          <w:rFonts w:ascii="Book Antiqua" w:hAnsi="Book Antiqua"/>
          <w:b/>
          <w:sz w:val="24"/>
          <w:szCs w:val="24"/>
        </w:rPr>
      </w:pPr>
      <w:r w:rsidRPr="009A6988">
        <w:rPr>
          <w:rFonts w:ascii="Book Antiqua" w:hAnsi="Book Antiqua"/>
          <w:b/>
          <w:sz w:val="24"/>
          <w:szCs w:val="24"/>
        </w:rPr>
        <w:t>Violenza di genere</w:t>
      </w:r>
    </w:p>
    <w:p w:rsidR="0090729B" w:rsidRPr="009A6988" w:rsidRDefault="0090729B" w:rsidP="0090729B">
      <w:pPr>
        <w:spacing w:after="0" w:line="276" w:lineRule="auto"/>
        <w:jc w:val="both"/>
        <w:rPr>
          <w:rFonts w:ascii="Book Antiqua" w:hAnsi="Book Antiqua"/>
          <w:sz w:val="24"/>
          <w:szCs w:val="24"/>
        </w:rPr>
      </w:pPr>
      <w:r w:rsidRPr="0090729B">
        <w:rPr>
          <w:rFonts w:ascii="Book Antiqua" w:hAnsi="Book Antiqua"/>
          <w:sz w:val="24"/>
          <w:szCs w:val="24"/>
        </w:rPr>
        <w:t>Dal giugno 2019 a maggio 2020</w:t>
      </w:r>
      <w:r>
        <w:rPr>
          <w:rFonts w:ascii="Book Antiqua" w:hAnsi="Book Antiqua"/>
          <w:sz w:val="24"/>
          <w:szCs w:val="24"/>
        </w:rPr>
        <w:t xml:space="preserve"> </w:t>
      </w:r>
      <w:bookmarkStart w:id="0" w:name="_GoBack"/>
      <w:bookmarkEnd w:id="0"/>
      <w:r w:rsidRPr="009A6988">
        <w:rPr>
          <w:rFonts w:ascii="Book Antiqua" w:hAnsi="Book Antiqua"/>
          <w:sz w:val="24"/>
          <w:szCs w:val="24"/>
        </w:rPr>
        <w:t>le persone segnalate all’A.G. per reati legati alla violenza di genere sono state 32, di cui 13 in stato di arresto.</w:t>
      </w:r>
    </w:p>
    <w:p w:rsidR="0090729B" w:rsidRPr="009A6988" w:rsidRDefault="0090729B" w:rsidP="0090729B">
      <w:pPr>
        <w:spacing w:after="0" w:line="276" w:lineRule="auto"/>
        <w:jc w:val="both"/>
        <w:rPr>
          <w:rFonts w:ascii="Book Antiqua" w:hAnsi="Book Antiqua"/>
          <w:sz w:val="24"/>
          <w:szCs w:val="24"/>
        </w:rPr>
      </w:pPr>
      <w:r w:rsidRPr="009A6988">
        <w:rPr>
          <w:rFonts w:ascii="Book Antiqua" w:hAnsi="Book Antiqua"/>
          <w:sz w:val="24"/>
          <w:szCs w:val="24"/>
        </w:rPr>
        <w:t>Relativamente a tale ambito, i fatti si sono verificati:</w:t>
      </w:r>
    </w:p>
    <w:p w:rsidR="0090729B" w:rsidRPr="009A6988" w:rsidRDefault="0090729B" w:rsidP="0090729B">
      <w:pPr>
        <w:pStyle w:val="Paragrafoelenco"/>
        <w:numPr>
          <w:ilvl w:val="0"/>
          <w:numId w:val="1"/>
        </w:numPr>
        <w:spacing w:after="0" w:line="276" w:lineRule="auto"/>
        <w:ind w:left="426"/>
        <w:jc w:val="both"/>
        <w:rPr>
          <w:rFonts w:ascii="Book Antiqua" w:hAnsi="Book Antiqua"/>
          <w:sz w:val="24"/>
          <w:szCs w:val="24"/>
        </w:rPr>
      </w:pPr>
      <w:r w:rsidRPr="009A6988">
        <w:rPr>
          <w:rFonts w:ascii="Book Antiqua" w:hAnsi="Book Antiqua"/>
          <w:sz w:val="24"/>
          <w:szCs w:val="24"/>
        </w:rPr>
        <w:t>14 episodi in ambito “domestico” hanno riguardato autori italiani;</w:t>
      </w:r>
    </w:p>
    <w:p w:rsidR="0090729B" w:rsidRPr="009A6988" w:rsidRDefault="0090729B" w:rsidP="0090729B">
      <w:pPr>
        <w:pStyle w:val="Paragrafoelenco"/>
        <w:numPr>
          <w:ilvl w:val="0"/>
          <w:numId w:val="1"/>
        </w:numPr>
        <w:spacing w:after="0" w:line="276" w:lineRule="auto"/>
        <w:ind w:left="426"/>
        <w:jc w:val="both"/>
        <w:rPr>
          <w:rFonts w:ascii="Book Antiqua" w:hAnsi="Book Antiqua"/>
          <w:sz w:val="24"/>
          <w:szCs w:val="24"/>
        </w:rPr>
      </w:pPr>
      <w:r w:rsidRPr="009A6988">
        <w:rPr>
          <w:rFonts w:ascii="Book Antiqua" w:hAnsi="Book Antiqua"/>
          <w:sz w:val="24"/>
          <w:szCs w:val="24"/>
        </w:rPr>
        <w:t>7 episodi in ambito “domestico” hanno riguardato autori stranieri;</w:t>
      </w:r>
    </w:p>
    <w:p w:rsidR="0090729B" w:rsidRPr="009A6988" w:rsidRDefault="0090729B" w:rsidP="0090729B">
      <w:pPr>
        <w:pStyle w:val="Paragrafoelenco"/>
        <w:numPr>
          <w:ilvl w:val="0"/>
          <w:numId w:val="1"/>
        </w:numPr>
        <w:spacing w:after="0" w:line="276" w:lineRule="auto"/>
        <w:ind w:left="426"/>
        <w:jc w:val="both"/>
        <w:rPr>
          <w:rFonts w:ascii="Book Antiqua" w:hAnsi="Book Antiqua"/>
          <w:sz w:val="24"/>
          <w:szCs w:val="24"/>
        </w:rPr>
      </w:pPr>
      <w:r w:rsidRPr="009A6988">
        <w:rPr>
          <w:rFonts w:ascii="Book Antiqua" w:hAnsi="Book Antiqua"/>
          <w:sz w:val="24"/>
          <w:szCs w:val="24"/>
        </w:rPr>
        <w:t>3 episodi in ambito domestico hanno riguardato figli contro genitori;</w:t>
      </w:r>
    </w:p>
    <w:p w:rsidR="0090729B" w:rsidRPr="009A6988" w:rsidRDefault="0090729B" w:rsidP="0090729B">
      <w:pPr>
        <w:pStyle w:val="Paragrafoelenco"/>
        <w:numPr>
          <w:ilvl w:val="0"/>
          <w:numId w:val="1"/>
        </w:numPr>
        <w:spacing w:after="0" w:line="276" w:lineRule="auto"/>
        <w:ind w:left="426"/>
        <w:jc w:val="both"/>
        <w:rPr>
          <w:rFonts w:ascii="Book Antiqua" w:hAnsi="Book Antiqua"/>
          <w:sz w:val="24"/>
          <w:szCs w:val="24"/>
        </w:rPr>
      </w:pPr>
      <w:r w:rsidRPr="009A6988">
        <w:rPr>
          <w:rFonts w:ascii="Book Antiqua" w:hAnsi="Book Antiqua"/>
          <w:sz w:val="24"/>
          <w:szCs w:val="24"/>
        </w:rPr>
        <w:t>3 episodio si è verificato in ambito lavorativo fra colleghi di lavoro di sesso opposto;</w:t>
      </w:r>
    </w:p>
    <w:p w:rsidR="0090729B" w:rsidRPr="009A6988" w:rsidRDefault="0090729B" w:rsidP="0090729B">
      <w:pPr>
        <w:pStyle w:val="Paragrafoelenco"/>
        <w:numPr>
          <w:ilvl w:val="0"/>
          <w:numId w:val="1"/>
        </w:numPr>
        <w:spacing w:after="0" w:line="276" w:lineRule="auto"/>
        <w:ind w:left="426"/>
        <w:jc w:val="both"/>
        <w:rPr>
          <w:rFonts w:ascii="Book Antiqua" w:hAnsi="Book Antiqua"/>
          <w:sz w:val="24"/>
          <w:szCs w:val="24"/>
        </w:rPr>
      </w:pPr>
      <w:r w:rsidRPr="009A6988">
        <w:rPr>
          <w:rFonts w:ascii="Book Antiqua" w:hAnsi="Book Antiqua"/>
          <w:sz w:val="24"/>
          <w:szCs w:val="24"/>
        </w:rPr>
        <w:t>1 episodio ha riguardato maltrattamenti nei confronti di bambini in asilo, con 3 arresti e 2 denunce in stato di libertà;</w:t>
      </w:r>
    </w:p>
    <w:p w:rsidR="0090729B" w:rsidRPr="009A6988" w:rsidRDefault="0090729B" w:rsidP="0090729B">
      <w:pPr>
        <w:pStyle w:val="Paragrafoelenco"/>
        <w:numPr>
          <w:ilvl w:val="0"/>
          <w:numId w:val="1"/>
        </w:numPr>
        <w:spacing w:after="0" w:line="276" w:lineRule="auto"/>
        <w:ind w:left="426"/>
        <w:jc w:val="both"/>
        <w:rPr>
          <w:rFonts w:ascii="Book Antiqua" w:hAnsi="Book Antiqua"/>
          <w:sz w:val="24"/>
          <w:szCs w:val="24"/>
        </w:rPr>
      </w:pPr>
      <w:r w:rsidRPr="009A6988">
        <w:rPr>
          <w:rFonts w:ascii="Book Antiqua" w:hAnsi="Book Antiqua"/>
          <w:sz w:val="24"/>
          <w:szCs w:val="24"/>
        </w:rPr>
        <w:t>1 episodio ha riguardato episodi di atti persecutori da parte di una donna in danno di un uomo;</w:t>
      </w:r>
    </w:p>
    <w:p w:rsidR="0090729B" w:rsidRPr="009A6988" w:rsidRDefault="0090729B" w:rsidP="0090729B">
      <w:pPr>
        <w:pStyle w:val="Paragrafoelenco"/>
        <w:numPr>
          <w:ilvl w:val="0"/>
          <w:numId w:val="1"/>
        </w:numPr>
        <w:spacing w:after="0" w:line="276" w:lineRule="auto"/>
        <w:ind w:left="426"/>
        <w:jc w:val="both"/>
        <w:rPr>
          <w:rFonts w:ascii="Book Antiqua" w:hAnsi="Book Antiqua"/>
          <w:sz w:val="24"/>
          <w:szCs w:val="24"/>
        </w:rPr>
      </w:pPr>
      <w:r w:rsidRPr="009A6988">
        <w:rPr>
          <w:rFonts w:ascii="Book Antiqua" w:hAnsi="Book Antiqua"/>
          <w:sz w:val="24"/>
          <w:szCs w:val="24"/>
        </w:rPr>
        <w:t>11 episodi sono stati perseguiti con il c.d. “codice rosso”.</w:t>
      </w:r>
    </w:p>
    <w:p w:rsidR="0090729B" w:rsidRPr="009A6988" w:rsidRDefault="0090729B" w:rsidP="0090729B">
      <w:pPr>
        <w:spacing w:after="0" w:line="276" w:lineRule="auto"/>
        <w:jc w:val="both"/>
        <w:rPr>
          <w:rFonts w:ascii="Book Antiqua" w:hAnsi="Book Antiqua"/>
          <w:sz w:val="24"/>
          <w:szCs w:val="24"/>
        </w:rPr>
      </w:pPr>
    </w:p>
    <w:p w:rsidR="0090729B" w:rsidRPr="009A6988" w:rsidRDefault="0090729B" w:rsidP="0090729B">
      <w:pPr>
        <w:spacing w:after="0" w:line="276" w:lineRule="auto"/>
        <w:jc w:val="both"/>
        <w:rPr>
          <w:rFonts w:ascii="Book Antiqua" w:hAnsi="Book Antiqua"/>
          <w:sz w:val="24"/>
          <w:szCs w:val="24"/>
        </w:rPr>
      </w:pPr>
      <w:r w:rsidRPr="009A6988">
        <w:rPr>
          <w:rFonts w:ascii="Book Antiqua" w:hAnsi="Book Antiqua"/>
          <w:sz w:val="24"/>
          <w:szCs w:val="24"/>
        </w:rPr>
        <w:t>Le attività più importanti sono le seguenti:</w:t>
      </w:r>
    </w:p>
    <w:p w:rsidR="0090729B" w:rsidRPr="009A6988" w:rsidRDefault="0090729B" w:rsidP="0090729B">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22 giugno 2019 – Sarmato (PC): la Stazione di Sarmato ha eseguito una ordinanza di custodia cautelare in carcere a carico di un 35enne italiano, ritenuto responsabile dei reati di violenza sessuale aggravata ed atti persecutori nei confronti della ex compagna;</w:t>
      </w:r>
    </w:p>
    <w:p w:rsidR="0090729B" w:rsidRPr="009A6988" w:rsidRDefault="0090729B" w:rsidP="0090729B">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15 ottobre 2019 – Ponte dell’Olio (PC): in applicazione del c.d. “codice rosso”, la Stazione di Ponte dell’Olio ha arrestato un minore marocchino per maltrattamenti in famiglia e minaccia aggravata nei confronti della madre convivente, nonché  resistenza a pubblico ufficiale;</w:t>
      </w:r>
    </w:p>
    <w:p w:rsidR="0090729B" w:rsidRPr="009A6988" w:rsidRDefault="0090729B" w:rsidP="0090729B">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2 novembre 2019 – Borgonovo Val Tidone (PC): la Stazione di Borgonovo Val Tidone ha arrestato un 36enne italiano per violenza sessuale aggravata e lesioni personali aggravate nei confronti della ex compagna; </w:t>
      </w:r>
    </w:p>
    <w:p w:rsidR="0090729B" w:rsidRPr="009A6988" w:rsidRDefault="0090729B" w:rsidP="0090729B">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28 novembre 2019 – Podenzano (PC): la Stazione di San Giorgio Piacentino ha eseguito un’ordinanza di custodia cautelare degli arresti domiciliari nei confronti di una 78enne religiosa italiana, una 54enne italiana ed una 40enne italiana, educatrici presso una scuola materna, ritenute responsabili del reato di maltrattamenti su minori continuati ed in concorso;</w:t>
      </w:r>
    </w:p>
    <w:p w:rsidR="0090729B" w:rsidRPr="009A6988" w:rsidRDefault="0090729B" w:rsidP="0090729B">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1 dicembre 2019 – Podenzano (PC): in applicazione del c.d. “codice rosso”, le Stazioni di San Giorgio Piacentino e Ponte dell’Olio hanno arrestato una 52enne italiana in flagranza dei reati di maltrattamenti in famiglia e lesioni personali aggravate nei confronti del marito convivente;</w:t>
      </w:r>
    </w:p>
    <w:p w:rsidR="0090729B" w:rsidRPr="009A6988" w:rsidRDefault="0090729B" w:rsidP="0090729B">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5 dicembre 2019 – Rivergaro (PC): in applicazione del c.d. “codice rosso”, la Stazione di Rivergaro ha arrestato un 31enne italiano per maltrattamenti in famiglia nei confronti della coniuge;</w:t>
      </w:r>
    </w:p>
    <w:p w:rsidR="0090729B" w:rsidRPr="009A6988" w:rsidRDefault="0090729B" w:rsidP="0090729B">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25 dicembre 2019 – Piacenza: in applicazione del c.d. “codice rosso”, il N.O.R. della Compagnia di Piacenza ha arrestato un 19enne italiano, in flagranza del reato di maltrattamenti in famiglia nei confronti della madre;</w:t>
      </w:r>
    </w:p>
    <w:p w:rsidR="0090729B" w:rsidRPr="009A6988" w:rsidRDefault="0090729B" w:rsidP="0090729B">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lastRenderedPageBreak/>
        <w:t>3 aprile 2020 – Podenzano (PC): in applicazione del c.d. “codice rosso”, la Stazione di San Giorgio Piacentino ha arrestato un 54enne cittadino dell’Ecuador per aver aggredito la moglie con un coltello da cucina;</w:t>
      </w:r>
    </w:p>
    <w:p w:rsidR="007E77D0" w:rsidRDefault="0090729B" w:rsidP="0090729B">
      <w:r w:rsidRPr="009A6988">
        <w:rPr>
          <w:rFonts w:ascii="Book Antiqua" w:hAnsi="Book Antiqua"/>
          <w:color w:val="000000" w:themeColor="text1"/>
          <w:sz w:val="24"/>
          <w:szCs w:val="24"/>
        </w:rPr>
        <w:t>1° maggio 2020 – Pontenure (PC): la Stazione di San Giorgio Piacentino ha arrestato un 38enne cittadino dell’Ecuador per minaccia, furto aggravato e danneggiamento, per aver aggredito in strada l’ex fidanzata, portandole via alcuni documenti personali, ed aver danneggiato la sua autovettura, tentando anche di darla alle fiamme</w:t>
      </w:r>
    </w:p>
    <w:sectPr w:rsidR="007E77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6311"/>
    <w:multiLevelType w:val="hybridMultilevel"/>
    <w:tmpl w:val="C3DEB9D4"/>
    <w:lvl w:ilvl="0" w:tplc="F3386CC8">
      <w:start w:val="9"/>
      <w:numFmt w:val="bullet"/>
      <w:lvlText w:val="-"/>
      <w:lvlJc w:val="left"/>
      <w:pPr>
        <w:ind w:left="644" w:hanging="360"/>
      </w:pPr>
      <w:rPr>
        <w:rFonts w:ascii="Bookman Old Style" w:eastAsia="Times New Roman"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73584228"/>
    <w:multiLevelType w:val="hybridMultilevel"/>
    <w:tmpl w:val="5CD83772"/>
    <w:lvl w:ilvl="0" w:tplc="AE626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9B"/>
    <w:rsid w:val="000D6723"/>
    <w:rsid w:val="003B75EC"/>
    <w:rsid w:val="007A05D6"/>
    <w:rsid w:val="0090729B"/>
    <w:rsid w:val="00B9377F"/>
    <w:rsid w:val="00F2616F"/>
    <w:rsid w:val="00FC5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729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7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729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7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Rancati</dc:creator>
  <cp:lastModifiedBy>Michele Rancati</cp:lastModifiedBy>
  <cp:revision>1</cp:revision>
  <dcterms:created xsi:type="dcterms:W3CDTF">2020-06-05T08:43:00Z</dcterms:created>
  <dcterms:modified xsi:type="dcterms:W3CDTF">2020-06-05T08:45:00Z</dcterms:modified>
</cp:coreProperties>
</file>