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Al Sindaco, alla Giunta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-300989</wp:posOffset>
            </wp:positionH>
            <wp:positionV relativeFrom="paragraph">
              <wp:posOffset>-380999</wp:posOffset>
            </wp:positionV>
            <wp:extent cx="1537970" cy="734695"/>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37970" cy="734695"/>
                    </a:xfrm>
                    <a:prstGeom prst="rect"/>
                    <a:ln/>
                  </pic:spPr>
                </pic:pic>
              </a:graphicData>
            </a:graphic>
          </wp:anchor>
        </w:drawing>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e ai Consiglieri comunali del Comune di Piacenza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conseguenze dell’azione amministrativa sono troppo importanti nella quotidianità della vita dei cittadini perché il loro esame sia cosa di competenza esclusiva della classe politica. Sono molti anni, in effetti, che il sindacato si mette in relazione con le amministrazioni comunali, per valutazioni che non vanno intese come voti in pagella ma come partecipazione dei corpi intermedi, dei legittimi “portatori di interessi”, i lavoratori, i pensionati, i cittadini, al destino del territorio, cioè della comunità che lo abita.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 comune di Piacenza, ad un anno dall’effettivo insediamento della giunta di Patrizia Barbieri l’impressione complessiva è di una città capoluogo ancora alla ricerca di quel cambio di passo prefigurato dalle stesse linee di mandato della nuova amministrazione. C’è urgenza di dare corpo e gambe a scelte precise per entrare nel futuro di Piacenza, dopo un decennio di crisi che ha avuto un generale effetto di rallentamento. Possono, nell’anno trascorso, essere ricordate alcune memorabili “fiammate” su alcuni importanti capitoli, cui però non è seguito alcun innesco, alcuna traduzione in atti amministrativi.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Bando periferie.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Emblematica è la situazione che riguarda i progetti che sono risultati vincitori a Piacenza nell’ambito di questo programma nazionale. Il disegno di legge del decreto milleproroghe mette una pietra, si teme probabilmente tombale, al loro finanziamento e si tratta, per considerare solo l’aspetto monetario della questione, di circa 11 milioni di euro, tra fondi pubblici e privati, persi per Piacenza. L’amministrazione deve reagire con tutte le risorse, incluse le leve rappresentate dai rapporti in essere con tutti i parlamentari piacentini per scongiurare l’eventualità di un simile blocco.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Nuovo ospedale e casa della salute a Piacenza.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fatto stesso che ormai sia diventato un tormentone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cui quasi non si vorrebbe più sentir parlare, è indicativo. Manca un atto che dia avvio a qualcosa di preciso, intanto si succedono ipotesi,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sempre più fantasiose. Eppure ne va di una struttura che gli stessi medici non hanno dubbi a indicare come indispensabile.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quanto riguarda il varo della Casa della salute in città, un’iniziativa più marcata da parte del comune capoluogo è necessaria: vanno rappresentate più incisivamente all’Ausl di Piacenza le istanze per il potenziamento della sanità territoriale comunale, anche attraverso la realizzazione della Casa della salute.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Lavoro e sviluppo economico.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lavoro, come la salute, è tra i beni primari da tutelare. Anche in questo caso, al di là della scelta di escludere i sindacati nelle prime fasi del tavolo per lo sviluppo economico, non è nota alcuna intuizione, alcuna scelta d’indirizzo, alcun atto che permetta di immaginare Piacenza nella prospettiva dell’economia che sarà. Si procede quindi per forza d’inerzia, con molta logistica che sospinge come vento in poppa, ma non si tratta di logistica avanzata e la qualità dei posti di lavoro continua a risentirne pesantemente.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Stati generali della ricerca.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Suona bene il nome, perfino un po’ altisonante. Peccato per la scarsa affluenza e l’assenza di conclusioni comprensibili, cioè linee di intervento praticabili.</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Protezione sociale.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Piano di zona triennale per la salute e il benessere sociale è il documento programmatico con il quale il Comune di Piacenza, di concerto con l’Ausl, definisce le politiche sociali e socio-sanitarie e il sistema integrato di interventi e servizi per la popolazione piacentina. A Piacenza la presentazione dei piani di zona poteva essere occasione di partecipazione che invece non c’è stata, essendosi tutto ridotto a una flebile flusso di informazioni ai corpi intermedi.</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Sicurezza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la consapevolezza che la complessità del problema non si affronta con iniziative eclatanti ma con con un’attenzione quotidiana a creare una sinergia con le forze dell’ordine e anche stimolando le relazioni tra i cittadini, è da riconoscere positivamente lo sforzo di far sentire la cittadinanza più sicura dando sostegno a iniziative per un maggior controllo del territorio.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Viabilità.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grande stagione dei cambiamenti strutturali, con rotonde, piste ciclabili e tangenziali è legata all’amministrazione guidata da Roberto Reggi. Attualmente sono in corso alcuni lavori pubblici di manutenzione e di miglioria della viabilità apprezzabili. Rimane incerta la volontà di affrontare il nesso viabilità-ambiente-salute pubblica, tanto sottolineato in campagna elettorale. Per esempio si sarebbe potuta cogliere l’occasione nei lavori di asfaltatura per impiegare materiali fonoassorbenti o maggiormente ecocompatibili quali quelli che permettono di limitare le polveri sottili, almeno nelle vie a più elevato flusso di mezzi pubblici e privati (come, per esempio, via Borghetto).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Turismo e cultura.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di là delle pregevole iniziativa privata che ha riguardato Santa Maria di Campagna e della collaborazione messa in campo per realizzare l’estate culturale a Palazzo Farnese, non sono ancora in atto quegli sforzi attesi in funzione della annunciata collaborazione con Parma Capitale della Cultura 2020. Eppure all’evento manca solo poco più di un anno.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Giovani e anziani.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Sono le fasce della popolazione che richiedono maggior sostegno. I primi sono stati interessati dalla rimodulazione della mission dei centri di aggregazione giovanili, si dice a vantaggio dei secondi. In realtà si stenta a comprendere l’idea che sottende gli interventi più recenti, forse semplicemente orientati verso un’utenza più generica ed indifferenziata.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Tutela dell’ambiente e raccolta differenziata.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necessario incrementare gli sforzi in questo ambito, ed è apprezzabile, dopo un lungo periodo di stasi, aver ripreso la raccolta differenziata porta a porta con il suo ampliamento a nuova importante parte della città. Le linee di mandato andavano nella giusta direzione anche sul tema della protezione del territorio e ambiente ma non sono ancora state adottate le azioni conseguenti. Pur nella difficoltà oggettiva del compito, è necessario non abbassare la guardia.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Tassazione e tributi locali.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Lodevole la prosecuzione attiva della lotta anti evasione per quanto riguarda i tributi locali con l’invio delle cartelle di pagamento a chi risulta non in regola agli uffici comunali. Con la collaborazione dei servizi sociali, è importante distinguere chi non paga per scelta, da chi non paga per povertà.</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Frazioni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Sono evidenti sforzi concreti per finanziare progetti tesi a rafforzare la sicurezza, rinnovare l’asfaltatura, e programmare eventi pubblici nella cintura di piccoli centri che costituisce la periferia cittadina.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Impianti sportivi.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sport è uno dei principali strumenti per proporre  alle giovani generazioni uno stile di vita sano, che aiuti a superare problemi come la sedentarietà, l’abuso di device tecnologici, e altre dipendenze, purtroppo oggi diffuse. Da ricordare anche la funzione di integrazione sociale svolta dalle attività sportive, in particolare per i cittadini con disabilità. Per alcune specialità sportive continuano essere assenti o molto carenti le strutture impiantistiche, si pensi ai campi da tennis, o alla nuova piscina, annosa lacuna della nostra città.</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Aree dismesse.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è noto il territorio comunale potrà avere a disposizione, già nel breve periodo, aree dismesse di rilevante estensione. La riqualificazione delle aree richiede impegni economici così importanti che non possono trovare una risposta immediata, ma almeno alcune di esse potrebbero essere sbloccate da finanziamenti previsti dai piani europei.</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urgente quindi introdurre nella pianificazione territoriale il possibile apporto di queste aree.</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Priorità secondo la Cisl</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priorità sono costituite dall’urgenza di azioni su tre fronti principali. Si tratta di scelte che competono all’amministrazione e al sindaco Patrizia Barbieri, ormai divenute indifferibili.</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urgente prendere delle posizioni precise, assumere decisioni, individuare le risorse economiche per attuare i progetti relativi 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Nuovo Ospedale </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Sviluppo economico per il lavoro e l’occupazione di qualità</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Sostegno alle fragilità: anziani e giovani, in particolare se disabili</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Cisl è sempre pronta a collaborare con questa amministrazione per rendere fattive le priorità indicate, anche alla luce del protocollo sottoscritto nei mesi scorsi tra l’amministrazione Barbieri e i sindacati confederali, che si auspica sia utile per proseguire una stagione di rapporti positivi.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Piacenza ha bisogno di crescere, senza alcune scelte decisive non può farlo!  </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2.%3)"/>
      <w:lvlJc w:val="right"/>
      <w:pPr>
        <w:ind w:left="2160" w:hanging="360"/>
      </w:pPr>
      <w:rPr>
        <w:u w:val="none"/>
        <w:vertAlign w:val="baseline"/>
      </w:rPr>
    </w:lvl>
    <w:lvl w:ilvl="3">
      <w:start w:val="1"/>
      <w:numFmt w:val="decimal"/>
      <w:lvlText w:val="(%2.%3.%4)"/>
      <w:lvlJc w:val="left"/>
      <w:pPr>
        <w:ind w:left="2880" w:hanging="360"/>
      </w:pPr>
      <w:rPr>
        <w:u w:val="none"/>
        <w:vertAlign w:val="baseline"/>
      </w:rPr>
    </w:lvl>
    <w:lvl w:ilvl="4">
      <w:start w:val="1"/>
      <w:numFmt w:val="lowerLetter"/>
      <w:lvlText w:val="(%2.%3.%4.%5)"/>
      <w:lvlJc w:val="left"/>
      <w:pPr>
        <w:ind w:left="3600" w:hanging="360"/>
      </w:pPr>
      <w:rPr>
        <w:u w:val="none"/>
        <w:vertAlign w:val="baseline"/>
      </w:rPr>
    </w:lvl>
    <w:lvl w:ilvl="5">
      <w:start w:val="1"/>
      <w:numFmt w:val="lowerRoman"/>
      <w:lvlText w:val="(%2.%3.%4.%5.%6)"/>
      <w:lvlJc w:val="right"/>
      <w:pPr>
        <w:ind w:left="4320" w:hanging="360"/>
      </w:pPr>
      <w:rPr>
        <w:u w:val="none"/>
        <w:vertAlign w:val="baseline"/>
      </w:rPr>
    </w:lvl>
    <w:lvl w:ilvl="6">
      <w:start w:val="1"/>
      <w:numFmt w:val="decimal"/>
      <w:lvlText w:val="%2.%3.%4.%5.%6.%7."/>
      <w:lvlJc w:val="left"/>
      <w:pPr>
        <w:ind w:left="5040" w:hanging="360"/>
      </w:pPr>
      <w:rPr>
        <w:u w:val="none"/>
        <w:vertAlign w:val="baseline"/>
      </w:rPr>
    </w:lvl>
    <w:lvl w:ilvl="7">
      <w:start w:val="1"/>
      <w:numFmt w:val="lowerLetter"/>
      <w:lvlText w:val="%2.%3.%4.%5.%6.%7.%8."/>
      <w:lvlJc w:val="left"/>
      <w:pPr>
        <w:ind w:left="5760" w:hanging="360"/>
      </w:pPr>
      <w:rPr>
        <w:u w:val="none"/>
        <w:vertAlign w:val="baseline"/>
      </w:rPr>
    </w:lvl>
    <w:lvl w:ilvl="8">
      <w:start w:val="1"/>
      <w:numFmt w:val="lowerRoman"/>
      <w:lvlText w:val="%2.%3.%4.%5.%6.%7.%8.%9."/>
      <w:lvlJc w:val="righ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