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41" w:rsidRDefault="00B26241" w:rsidP="00B26241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Forte degli ottimi risultati ottenuti  in termini di </w:t>
      </w:r>
      <w:proofErr w:type="spellStart"/>
      <w:r>
        <w:rPr>
          <w:rFonts w:ascii="Arial" w:eastAsia="Times New Roman" w:hAnsi="Arial" w:cs="Arial"/>
        </w:rPr>
        <w:t>efficientamento</w:t>
      </w:r>
      <w:proofErr w:type="spellEnd"/>
      <w:r>
        <w:rPr>
          <w:rFonts w:ascii="Arial" w:eastAsia="Times New Roman" w:hAnsi="Arial" w:cs="Arial"/>
        </w:rPr>
        <w:t xml:space="preserve">, sinergie conseguite, riduzione dell’indebitamento e incremento strutturale di cassa, il Gruppo </w:t>
      </w:r>
      <w:proofErr w:type="spellStart"/>
      <w:r>
        <w:rPr>
          <w:rFonts w:ascii="Arial" w:eastAsia="Times New Roman" w:hAnsi="Arial" w:cs="Arial"/>
        </w:rPr>
        <w:t>Iren</w:t>
      </w:r>
      <w:proofErr w:type="spellEnd"/>
      <w:r>
        <w:rPr>
          <w:rFonts w:ascii="Arial" w:eastAsia="Times New Roman" w:hAnsi="Arial" w:cs="Arial"/>
        </w:rPr>
        <w:t xml:space="preserve"> ha presentato </w:t>
      </w:r>
      <w:r>
        <w:rPr>
          <w:rFonts w:ascii="Arial" w:eastAsia="Times New Roman" w:hAnsi="Arial" w:cs="Arial"/>
          <w:b/>
          <w:bCs/>
        </w:rPr>
        <w:t>presso Confindustria Piacenza il proprio piano industriale al 2022 alle aziende ed imprese del territorio piacentino.</w:t>
      </w:r>
      <w:r>
        <w:rPr>
          <w:rFonts w:ascii="Arial" w:eastAsia="Times New Roman" w:hAnsi="Arial" w:cs="Arial"/>
        </w:rPr>
        <w:t> I lavori sono stati aperti da </w:t>
      </w:r>
      <w:r>
        <w:rPr>
          <w:rFonts w:ascii="Arial" w:eastAsia="Times New Roman" w:hAnsi="Arial" w:cs="Arial"/>
          <w:b/>
          <w:bCs/>
        </w:rPr>
        <w:t>Alberto Rota,</w:t>
      </w:r>
      <w:r>
        <w:rPr>
          <w:rFonts w:ascii="Arial" w:eastAsia="Times New Roman" w:hAnsi="Arial" w:cs="Arial"/>
        </w:rPr>
        <w:t> Presidente di Confindustria Piacenza e da </w:t>
      </w:r>
      <w:r>
        <w:rPr>
          <w:rFonts w:ascii="Arial" w:eastAsia="Times New Roman" w:hAnsi="Arial" w:cs="Arial"/>
          <w:b/>
          <w:bCs/>
        </w:rPr>
        <w:t xml:space="preserve">Paolo </w:t>
      </w:r>
      <w:proofErr w:type="spellStart"/>
      <w:r>
        <w:rPr>
          <w:rFonts w:ascii="Arial" w:eastAsia="Times New Roman" w:hAnsi="Arial" w:cs="Arial"/>
          <w:b/>
          <w:bCs/>
        </w:rPr>
        <w:t>Peveraro</w:t>
      </w:r>
      <w:proofErr w:type="spellEnd"/>
      <w:r>
        <w:rPr>
          <w:rFonts w:ascii="Arial" w:eastAsia="Times New Roman" w:hAnsi="Arial" w:cs="Arial"/>
          <w:b/>
          <w:bCs/>
        </w:rPr>
        <w:t>,</w:t>
      </w:r>
      <w:r>
        <w:rPr>
          <w:rFonts w:ascii="Arial" w:eastAsia="Times New Roman" w:hAnsi="Arial" w:cs="Arial"/>
        </w:rPr>
        <w:t xml:space="preserve"> Presidente del Gruppo </w:t>
      </w:r>
      <w:proofErr w:type="spellStart"/>
      <w:r>
        <w:rPr>
          <w:rFonts w:ascii="Arial" w:eastAsia="Times New Roman" w:hAnsi="Arial" w:cs="Arial"/>
        </w:rPr>
        <w:t>Iren</w:t>
      </w:r>
      <w:proofErr w:type="spellEnd"/>
      <w:r>
        <w:rPr>
          <w:rFonts w:ascii="Arial" w:eastAsia="Times New Roman" w:hAnsi="Arial" w:cs="Arial"/>
        </w:rPr>
        <w:t xml:space="preserve">, quindi la parola è passata all’Amministratore Delegato di </w:t>
      </w:r>
      <w:proofErr w:type="spellStart"/>
      <w:r>
        <w:rPr>
          <w:rFonts w:ascii="Arial" w:eastAsia="Times New Roman" w:hAnsi="Arial" w:cs="Arial"/>
        </w:rPr>
        <w:t>Iren</w:t>
      </w:r>
      <w:proofErr w:type="spellEnd"/>
      <w:r>
        <w:rPr>
          <w:rFonts w:ascii="Arial" w:eastAsia="Times New Roman" w:hAnsi="Arial" w:cs="Arial"/>
        </w:rPr>
        <w:t> </w:t>
      </w:r>
      <w:r>
        <w:rPr>
          <w:rFonts w:ascii="Arial" w:eastAsia="Times New Roman" w:hAnsi="Arial" w:cs="Arial"/>
          <w:b/>
          <w:bCs/>
        </w:rPr>
        <w:t>Massimiliano Bianco</w:t>
      </w:r>
      <w:r>
        <w:rPr>
          <w:rFonts w:ascii="Arial" w:eastAsia="Times New Roman" w:hAnsi="Arial" w:cs="Arial"/>
        </w:rPr>
        <w:t> ed ai suoi collaboratori.</w:t>
      </w:r>
    </w:p>
    <w:p w:rsidR="00B26241" w:rsidRDefault="00B26241" w:rsidP="00B26241">
      <w:pPr>
        <w:jc w:val="both"/>
        <w:rPr>
          <w:rFonts w:eastAsia="Times New Roman"/>
        </w:rPr>
      </w:pPr>
    </w:p>
    <w:p w:rsidR="00B26241" w:rsidRDefault="00B26241" w:rsidP="00B26241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Grazie ai benefici derivanti dalle azioni intraprese negli ultimi 30 mesi, il piano industriale di </w:t>
      </w:r>
      <w:proofErr w:type="spellStart"/>
      <w:r>
        <w:rPr>
          <w:rFonts w:ascii="Arial" w:eastAsia="Times New Roman" w:hAnsi="Arial" w:cs="Arial"/>
          <w:b/>
          <w:bCs/>
        </w:rPr>
        <w:t>Iren</w:t>
      </w:r>
      <w:proofErr w:type="spellEnd"/>
      <w:r>
        <w:rPr>
          <w:rFonts w:ascii="Arial" w:eastAsia="Times New Roman" w:hAnsi="Arial" w:cs="Arial"/>
          <w:b/>
          <w:bCs/>
        </w:rPr>
        <w:t xml:space="preserve"> potrà beneficiare di una flessibilità finanziaria </w:t>
      </w:r>
      <w:r>
        <w:rPr>
          <w:rFonts w:ascii="Arial" w:eastAsia="Times New Roman" w:hAnsi="Arial" w:cs="Arial"/>
        </w:rPr>
        <w:t>che consentirà al Gruppo di cogliere significative opzioni di sviluppo al 2022 attraverso </w:t>
      </w:r>
      <w:r>
        <w:rPr>
          <w:rFonts w:ascii="Arial" w:eastAsia="Times New Roman" w:hAnsi="Arial" w:cs="Arial"/>
          <w:b/>
          <w:bCs/>
        </w:rPr>
        <w:t>investimenti pari a 2,5 miliardi di euro</w:t>
      </w:r>
      <w:r>
        <w:rPr>
          <w:rFonts w:ascii="Arial" w:eastAsia="Times New Roman" w:hAnsi="Arial" w:cs="Arial"/>
        </w:rPr>
        <w:t xml:space="preserve">, in crescita di circa 300 milioni (+15% circa) rispetto al precedente business </w:t>
      </w:r>
      <w:proofErr w:type="spellStart"/>
      <w:r>
        <w:rPr>
          <w:rFonts w:ascii="Arial" w:eastAsia="Times New Roman" w:hAnsi="Arial" w:cs="Arial"/>
        </w:rPr>
        <w:t>plan</w:t>
      </w:r>
      <w:proofErr w:type="spellEnd"/>
      <w:r>
        <w:rPr>
          <w:rFonts w:ascii="Arial" w:eastAsia="Times New Roman" w:hAnsi="Arial" w:cs="Arial"/>
        </w:rPr>
        <w:t>, di garantire agli Azionisti </w:t>
      </w:r>
      <w:r>
        <w:rPr>
          <w:rFonts w:ascii="Arial" w:eastAsia="Times New Roman" w:hAnsi="Arial" w:cs="Arial"/>
          <w:b/>
          <w:bCs/>
        </w:rPr>
        <w:t xml:space="preserve">una </w:t>
      </w:r>
      <w:proofErr w:type="spellStart"/>
      <w:r>
        <w:rPr>
          <w:rFonts w:ascii="Arial" w:eastAsia="Times New Roman" w:hAnsi="Arial" w:cs="Arial"/>
          <w:b/>
          <w:bCs/>
        </w:rPr>
        <w:t>dividend</w:t>
      </w:r>
      <w:proofErr w:type="spellEnd"/>
      <w:r>
        <w:rPr>
          <w:rFonts w:ascii="Arial" w:eastAsia="Times New Roman" w:hAnsi="Arial" w:cs="Arial"/>
          <w:b/>
          <w:bCs/>
        </w:rPr>
        <w:t xml:space="preserve"> policy </w:t>
      </w:r>
      <w:r>
        <w:rPr>
          <w:rFonts w:ascii="Arial" w:eastAsia="Times New Roman" w:hAnsi="Arial" w:cs="Arial"/>
        </w:rPr>
        <w:t>chiara e soddisfacente con l’impegno del management verso una crescita annua del </w:t>
      </w:r>
      <w:r>
        <w:rPr>
          <w:rFonts w:ascii="Arial" w:eastAsia="Times New Roman" w:hAnsi="Arial" w:cs="Arial"/>
          <w:b/>
          <w:bCs/>
        </w:rPr>
        <w:t>dividendo di almeno il 10%</w:t>
      </w:r>
      <w:r>
        <w:rPr>
          <w:rFonts w:ascii="Arial" w:eastAsia="Times New Roman" w:hAnsi="Arial" w:cs="Arial"/>
        </w:rPr>
        <w:t xml:space="preserve"> e di cogliere nuove opportunità di consolidamento territoriale attraverso operazioni di M&amp;A. Un piano particolarmente orientato allo sviluppo, con focus sui business regolati e quasi regolati e investimenti concentrati al 95% sui territori di riferimento di </w:t>
      </w:r>
      <w:proofErr w:type="spellStart"/>
      <w:r>
        <w:rPr>
          <w:rFonts w:ascii="Arial" w:eastAsia="Times New Roman" w:hAnsi="Arial" w:cs="Arial"/>
        </w:rPr>
        <w:t>Iren</w:t>
      </w:r>
      <w:proofErr w:type="spellEnd"/>
      <w:r>
        <w:rPr>
          <w:rFonts w:ascii="Arial" w:eastAsia="Times New Roman" w:hAnsi="Arial" w:cs="Arial"/>
        </w:rPr>
        <w:t>. Particolare importanza rivestirà in questo senso sia l</w:t>
      </w:r>
      <w:r>
        <w:rPr>
          <w:rFonts w:ascii="Arial" w:eastAsia="Times New Roman" w:hAnsi="Arial" w:cs="Arial"/>
          <w:b/>
          <w:bCs/>
        </w:rPr>
        <w:t>’espansione delle reti di teleriscaldamento</w:t>
      </w:r>
      <w:r>
        <w:rPr>
          <w:rFonts w:ascii="Arial" w:eastAsia="Times New Roman" w:hAnsi="Arial" w:cs="Arial"/>
        </w:rPr>
        <w:t>, sia lo sviluppo dei business a rete attraverso il completamento degli ATEM nel settore gas nei quali IREN possiede già una quota rilevante e nel settore delle reti idriche dove è previsto un piano di investimenti particolarmente significativi. A ciò si aggiunge la crescita del settore Ambiente derivante dal rafforzamento nel “</w:t>
      </w:r>
      <w:proofErr w:type="spellStart"/>
      <w:r>
        <w:rPr>
          <w:rFonts w:ascii="Arial" w:eastAsia="Times New Roman" w:hAnsi="Arial" w:cs="Arial"/>
        </w:rPr>
        <w:t>waste</w:t>
      </w:r>
      <w:proofErr w:type="spellEnd"/>
      <w:r>
        <w:rPr>
          <w:rFonts w:ascii="Arial" w:eastAsia="Times New Roman" w:hAnsi="Arial" w:cs="Arial"/>
        </w:rPr>
        <w:t>-to-</w:t>
      </w:r>
      <w:proofErr w:type="spellStart"/>
      <w:r>
        <w:rPr>
          <w:rFonts w:ascii="Arial" w:eastAsia="Times New Roman" w:hAnsi="Arial" w:cs="Arial"/>
        </w:rPr>
        <w:t>material</w:t>
      </w:r>
      <w:proofErr w:type="spellEnd"/>
      <w:r>
        <w:rPr>
          <w:rFonts w:ascii="Arial" w:eastAsia="Times New Roman" w:hAnsi="Arial" w:cs="Arial"/>
        </w:rPr>
        <w:t>”, legato principalmente allo sviluppo di impianti dedicati al trattamento di carta, plastica e rifiuto.</w:t>
      </w:r>
    </w:p>
    <w:p w:rsidR="00B26241" w:rsidRDefault="00B26241" w:rsidP="00B26241">
      <w:pPr>
        <w:jc w:val="both"/>
        <w:rPr>
          <w:rFonts w:eastAsia="Times New Roman"/>
        </w:rPr>
      </w:pPr>
    </w:p>
    <w:p w:rsidR="00B26241" w:rsidRDefault="00B26241" w:rsidP="00B26241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Con il piano industriale al 2022 IREN si prepara ad affrontare le transizioni e i cambiamenti che stanno ridefinendo il mercato dell’energia e delle </w:t>
      </w:r>
      <w:proofErr w:type="spellStart"/>
      <w:r>
        <w:rPr>
          <w:rFonts w:ascii="Arial" w:eastAsia="Times New Roman" w:hAnsi="Arial" w:cs="Arial"/>
        </w:rPr>
        <w:t>multiutility</w:t>
      </w:r>
      <w:proofErr w:type="spellEnd"/>
      <w:r>
        <w:rPr>
          <w:rFonts w:ascii="Arial" w:eastAsia="Times New Roman" w:hAnsi="Arial" w:cs="Arial"/>
        </w:rPr>
        <w:t xml:space="preserve">. La strategia del Gruppo fa leva sui punti di forza storici come il legame con i Clienti e le relazioni forti con i territori di riferimento, sviluppando una </w:t>
      </w:r>
      <w:proofErr w:type="spellStart"/>
      <w:r>
        <w:rPr>
          <w:rFonts w:ascii="Arial" w:eastAsia="Times New Roman" w:hAnsi="Arial" w:cs="Arial"/>
        </w:rPr>
        <w:t>value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proposition</w:t>
      </w:r>
      <w:proofErr w:type="spellEnd"/>
      <w:r>
        <w:rPr>
          <w:rFonts w:ascii="Arial" w:eastAsia="Times New Roman" w:hAnsi="Arial" w:cs="Arial"/>
        </w:rPr>
        <w:t xml:space="preserve"> distintiva basata su integrazione dell’offerta, canali digitali e centralità del Cliente. In questo scenario </w:t>
      </w:r>
      <w:proofErr w:type="spellStart"/>
      <w:r>
        <w:rPr>
          <w:rFonts w:ascii="Arial" w:eastAsia="Times New Roman" w:hAnsi="Arial" w:cs="Arial"/>
        </w:rPr>
        <w:t>Iren</w:t>
      </w:r>
      <w:proofErr w:type="spellEnd"/>
      <w:r>
        <w:rPr>
          <w:rFonts w:ascii="Arial" w:eastAsia="Times New Roman" w:hAnsi="Arial" w:cs="Arial"/>
        </w:rPr>
        <w:t xml:space="preserve"> pone al centro il cliente/cittadino con il </w:t>
      </w:r>
      <w:r>
        <w:rPr>
          <w:rFonts w:ascii="Arial" w:eastAsia="Times New Roman" w:hAnsi="Arial" w:cs="Arial"/>
          <w:b/>
          <w:bCs/>
        </w:rPr>
        <w:t>progetto “new downstream” </w:t>
      </w:r>
      <w:r>
        <w:rPr>
          <w:rFonts w:ascii="Arial" w:eastAsia="Times New Roman" w:hAnsi="Arial" w:cs="Arial"/>
        </w:rPr>
        <w:t>che ha l’obiettivo di trasformare la commodity energetica in un servizio ad alto valore aggiunto e che, grazie al successo già riscontrato nel primo anno di attività, consentirà un incremento della base Clienti del Gruppo, ad oggi pari a 1,7 milioni, di circa 200.000 unità al 2022 che si aggiungono agli oltre 250.000 nuovi clienti acquisiti nel corso degli ultimi 30 mesi.</w:t>
      </w:r>
    </w:p>
    <w:p w:rsidR="00B26241" w:rsidRDefault="00B26241" w:rsidP="00B26241">
      <w:pPr>
        <w:jc w:val="both"/>
        <w:rPr>
          <w:rFonts w:eastAsia="Times New Roman"/>
        </w:rPr>
      </w:pPr>
    </w:p>
    <w:p w:rsidR="00B26241" w:rsidRDefault="00B26241" w:rsidP="00B26241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Grande attenzione sarà posta alla </w:t>
      </w:r>
      <w:r>
        <w:rPr>
          <w:rFonts w:ascii="Arial" w:eastAsia="Times New Roman" w:hAnsi="Arial" w:cs="Arial"/>
          <w:b/>
          <w:bCs/>
        </w:rPr>
        <w:t>sostenibilità ambientale</w:t>
      </w:r>
      <w:r>
        <w:rPr>
          <w:rFonts w:ascii="Arial" w:eastAsia="Times New Roman" w:hAnsi="Arial" w:cs="Arial"/>
        </w:rPr>
        <w:t xml:space="preserve"> con particolare focus sulla </w:t>
      </w:r>
      <w:proofErr w:type="spellStart"/>
      <w:r>
        <w:rPr>
          <w:rFonts w:ascii="Arial" w:eastAsia="Times New Roman" w:hAnsi="Arial" w:cs="Arial"/>
        </w:rPr>
        <w:t>decarbonizzazione</w:t>
      </w:r>
      <w:proofErr w:type="spellEnd"/>
      <w:r>
        <w:rPr>
          <w:rFonts w:ascii="Arial" w:eastAsia="Times New Roman" w:hAnsi="Arial" w:cs="Arial"/>
        </w:rPr>
        <w:t>, con un risparmio del 14% delle emissioni di anidride carbonica, sull’economia circolare, sulla tutela delle risorse idriche (aumento della capacità di depurazione del 15% e riduzione del prelievo idrico dall’ambiente per uso potabile pari al 9%) e sulla resilienza delle città. Un’attenzione che si estenderà al </w:t>
      </w:r>
      <w:r>
        <w:rPr>
          <w:rFonts w:ascii="Arial" w:eastAsia="Times New Roman" w:hAnsi="Arial" w:cs="Arial"/>
          <w:b/>
          <w:bCs/>
        </w:rPr>
        <w:t>risparmio energetico</w:t>
      </w:r>
      <w:r>
        <w:rPr>
          <w:rFonts w:ascii="Arial" w:eastAsia="Times New Roman" w:hAnsi="Arial" w:cs="Arial"/>
        </w:rPr>
        <w:t>: dalla ristrutturazione di condomini con riqualificazione energetica alla partnership con piccole e medie imprese in un’ottica “ESCO”. A ciò si aggiunge l’ingresso nel mondo della </w:t>
      </w:r>
      <w:r>
        <w:rPr>
          <w:rFonts w:ascii="Arial" w:eastAsia="Times New Roman" w:hAnsi="Arial" w:cs="Arial"/>
          <w:b/>
          <w:bCs/>
        </w:rPr>
        <w:t>mobilità elettrica</w:t>
      </w:r>
      <w:r>
        <w:rPr>
          <w:rFonts w:ascii="Arial" w:eastAsia="Times New Roman" w:hAnsi="Arial" w:cs="Arial"/>
        </w:rPr>
        <w:t xml:space="preserve">, attraverso l’adeguamento di una parte del parco auto aziendale e dei mezzi di raccolta dei rifiuti, la leadership delle colonnine di ricarica nei propri territori di riferimento, e-scooter </w:t>
      </w:r>
      <w:proofErr w:type="spellStart"/>
      <w:r>
        <w:rPr>
          <w:rFonts w:ascii="Arial" w:eastAsia="Times New Roman" w:hAnsi="Arial" w:cs="Arial"/>
        </w:rPr>
        <w:t>sharing</w:t>
      </w:r>
      <w:proofErr w:type="spellEnd"/>
      <w:r>
        <w:rPr>
          <w:rFonts w:ascii="Arial" w:eastAsia="Times New Roman" w:hAnsi="Arial" w:cs="Arial"/>
        </w:rPr>
        <w:t xml:space="preserve"> ed e-bike. </w:t>
      </w:r>
      <w:r>
        <w:rPr>
          <w:rFonts w:ascii="Arial" w:eastAsia="Times New Roman" w:hAnsi="Arial" w:cs="Arial"/>
          <w:b/>
          <w:bCs/>
        </w:rPr>
        <w:t>L’innovazione</w:t>
      </w:r>
      <w:r>
        <w:rPr>
          <w:rFonts w:ascii="Arial" w:eastAsia="Times New Roman" w:hAnsi="Arial" w:cs="Arial"/>
        </w:rPr>
        <w:t xml:space="preserve"> rappresenterà infatti un elemento sempre più cruciale nel guidare il processo di crescita del Gruppo che porrà sempre più attenzione al confronto e alla collaborazione con start-up ad alto contenuto innovativo e tecnologico, considerando anche il Corporate Venture Capital come una leva decisiva nelle strategie di open </w:t>
      </w:r>
      <w:proofErr w:type="spellStart"/>
      <w:r>
        <w:rPr>
          <w:rFonts w:ascii="Arial" w:eastAsia="Times New Roman" w:hAnsi="Arial" w:cs="Arial"/>
        </w:rPr>
        <w:t>innovation</w:t>
      </w:r>
      <w:proofErr w:type="spellEnd"/>
      <w:r>
        <w:rPr>
          <w:rFonts w:ascii="Arial" w:eastAsia="Times New Roman" w:hAnsi="Arial" w:cs="Arial"/>
        </w:rPr>
        <w:t>, e </w:t>
      </w:r>
      <w:r>
        <w:rPr>
          <w:rFonts w:ascii="Arial" w:eastAsia="Times New Roman" w:hAnsi="Arial" w:cs="Arial"/>
          <w:b/>
          <w:bCs/>
        </w:rPr>
        <w:t>alla crescita del capitale umano</w:t>
      </w:r>
      <w:r>
        <w:rPr>
          <w:rFonts w:ascii="Arial" w:eastAsia="Times New Roman" w:hAnsi="Arial" w:cs="Arial"/>
        </w:rPr>
        <w:t>, dove è previsto un raddoppio delle risorse sotto i 30 anni già al 2020 con l’ingresso di circa 180 nuovi talenti che porteranno nuove competenze e idee innovative al Gruppo. </w:t>
      </w:r>
    </w:p>
    <w:p w:rsidR="00B26241" w:rsidRDefault="00B26241" w:rsidP="00B26241">
      <w:pPr>
        <w:jc w:val="both"/>
        <w:rPr>
          <w:rFonts w:eastAsia="Times New Roman"/>
        </w:rPr>
      </w:pPr>
    </w:p>
    <w:p w:rsidR="00B26241" w:rsidRDefault="00B26241" w:rsidP="00B26241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 merito alle </w:t>
      </w:r>
      <w:r>
        <w:rPr>
          <w:rFonts w:ascii="Arial" w:eastAsia="Times New Roman" w:hAnsi="Arial" w:cs="Arial"/>
          <w:b/>
          <w:bCs/>
        </w:rPr>
        <w:t>ricadute territoriali</w:t>
      </w:r>
      <w:r>
        <w:rPr>
          <w:rFonts w:ascii="Arial" w:eastAsia="Times New Roman" w:hAnsi="Arial" w:cs="Arial"/>
        </w:rPr>
        <w:t xml:space="preserve"> sull’occupazione, il gruppo </w:t>
      </w:r>
      <w:proofErr w:type="spellStart"/>
      <w:r>
        <w:rPr>
          <w:rFonts w:ascii="Arial" w:eastAsia="Times New Roman" w:hAnsi="Arial" w:cs="Arial"/>
        </w:rPr>
        <w:t>Iren</w:t>
      </w:r>
      <w:proofErr w:type="spellEnd"/>
      <w:r>
        <w:rPr>
          <w:rFonts w:ascii="Arial" w:eastAsia="Times New Roman" w:hAnsi="Arial" w:cs="Arial"/>
        </w:rPr>
        <w:t xml:space="preserve"> impiega in Emilia circa 2000 dipendenti, dei quali 541</w:t>
      </w:r>
      <w:r>
        <w:rPr>
          <w:rFonts w:ascii="Arial" w:eastAsia="Times New Roman" w:hAnsi="Arial" w:cs="Arial"/>
          <w:b/>
          <w:bCs/>
        </w:rPr>
        <w:t> operano sul territorio piacentino</w:t>
      </w:r>
      <w:r>
        <w:rPr>
          <w:rFonts w:ascii="Arial" w:eastAsia="Times New Roman" w:hAnsi="Arial" w:cs="Arial"/>
        </w:rPr>
        <w:t>. </w:t>
      </w:r>
      <w:r>
        <w:rPr>
          <w:rFonts w:ascii="Arial" w:eastAsia="Times New Roman" w:hAnsi="Arial" w:cs="Arial"/>
          <w:b/>
          <w:bCs/>
        </w:rPr>
        <w:t xml:space="preserve">Il Gruppo </w:t>
      </w:r>
      <w:proofErr w:type="spellStart"/>
      <w:r>
        <w:rPr>
          <w:rFonts w:ascii="Arial" w:eastAsia="Times New Roman" w:hAnsi="Arial" w:cs="Arial"/>
          <w:b/>
          <w:bCs/>
        </w:rPr>
        <w:t>Iren</w:t>
      </w:r>
      <w:proofErr w:type="spellEnd"/>
      <w:r>
        <w:rPr>
          <w:rFonts w:ascii="Arial" w:eastAsia="Times New Roman" w:hAnsi="Arial" w:cs="Arial"/>
          <w:b/>
          <w:bCs/>
        </w:rPr>
        <w:t xml:space="preserve"> si pone anche ai vertici dell’indotto generato nel territorio</w:t>
      </w:r>
      <w:r>
        <w:rPr>
          <w:rFonts w:ascii="Arial" w:eastAsia="Times New Roman" w:hAnsi="Arial" w:cs="Arial"/>
        </w:rPr>
        <w:t> in quanto, mediante i rilevanti affidamenti esterni, costituisce un importante </w:t>
      </w:r>
      <w:r>
        <w:rPr>
          <w:rFonts w:ascii="Arial" w:eastAsia="Times New Roman" w:hAnsi="Arial" w:cs="Arial"/>
          <w:b/>
          <w:bCs/>
        </w:rPr>
        <w:t>volano economico:</w:t>
      </w:r>
      <w:r>
        <w:rPr>
          <w:rFonts w:ascii="Arial" w:eastAsia="Times New Roman" w:hAnsi="Arial" w:cs="Arial"/>
        </w:rPr>
        <w:t> </w:t>
      </w:r>
      <w:r>
        <w:rPr>
          <w:rFonts w:ascii="Arial" w:eastAsia="Times New Roman" w:hAnsi="Arial" w:cs="Arial"/>
          <w:b/>
          <w:bCs/>
        </w:rPr>
        <w:t>il 50% circa degli affidamenti riguarda aziende del territorio</w:t>
      </w:r>
      <w:r>
        <w:rPr>
          <w:rFonts w:ascii="Arial" w:eastAsia="Times New Roman" w:hAnsi="Arial" w:cs="Arial"/>
        </w:rPr>
        <w:t>. L’ordinato a fornitori della provincia di Piacenza, per l’anno 2017 è pari a </w:t>
      </w:r>
      <w:r>
        <w:rPr>
          <w:rFonts w:ascii="Arial" w:eastAsia="Times New Roman" w:hAnsi="Arial" w:cs="Arial"/>
          <w:b/>
          <w:bCs/>
        </w:rPr>
        <w:t>circa 31 milioni di euro e il numero di fornitori locali qualificati è pari a circa 150 aziende</w:t>
      </w:r>
      <w:r>
        <w:rPr>
          <w:rFonts w:ascii="Arial" w:eastAsia="Times New Roman" w:hAnsi="Arial" w:cs="Arial"/>
        </w:rPr>
        <w:t>. Le attività affidate sono prevalentemente servizi e riguardano per la massima parte fornitori medio-piccoli.</w:t>
      </w:r>
    </w:p>
    <w:p w:rsidR="00B26241" w:rsidRDefault="00B26241" w:rsidP="00B26241">
      <w:pPr>
        <w:jc w:val="both"/>
        <w:rPr>
          <w:rFonts w:eastAsia="Times New Roman"/>
        </w:rPr>
      </w:pPr>
    </w:p>
    <w:p w:rsidR="00B26241" w:rsidRDefault="00B26241" w:rsidP="00B26241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Il piano industriale vede un</w:t>
      </w:r>
      <w:r>
        <w:rPr>
          <w:rFonts w:ascii="Arial" w:eastAsia="Times New Roman" w:hAnsi="Arial" w:cs="Arial"/>
          <w:b/>
          <w:bCs/>
        </w:rPr>
        <w:t> incremento del’40%</w:t>
      </w:r>
      <w:r>
        <w:rPr>
          <w:rFonts w:ascii="Arial" w:eastAsia="Times New Roman" w:hAnsi="Arial" w:cs="Arial"/>
        </w:rPr>
        <w:t> rispetto al piano precedente degli investimenti sul territorio di Piacenza per un totale di  184 </w:t>
      </w:r>
      <w:r>
        <w:rPr>
          <w:rFonts w:ascii="Arial" w:eastAsia="Times New Roman" w:hAnsi="Arial" w:cs="Arial"/>
          <w:b/>
          <w:bCs/>
        </w:rPr>
        <w:t>milioni di Euro</w:t>
      </w:r>
      <w:r>
        <w:rPr>
          <w:rFonts w:ascii="Arial" w:eastAsia="Times New Roman" w:hAnsi="Arial" w:cs="Arial"/>
        </w:rPr>
        <w:t> in arco Piano. Le attività sul territorio di Piacenza riguardano la quasi totalità dei business gestiti dal Gruppo, quelle più rilevanti sono le Reti (Gas, Idrico), l’Ambiente (Raccolta e Smaltimento rifiuti) e Mercato (vendita energia elettrica e gas).</w:t>
      </w:r>
    </w:p>
    <w:p w:rsidR="00B26241" w:rsidRDefault="00B26241" w:rsidP="00B26241">
      <w:pPr>
        <w:jc w:val="both"/>
        <w:rPr>
          <w:rFonts w:ascii="Arial" w:eastAsia="Times New Roman" w:hAnsi="Arial" w:cs="Arial"/>
        </w:rPr>
      </w:pPr>
    </w:p>
    <w:p w:rsidR="00B26241" w:rsidRDefault="00B26241" w:rsidP="00B26241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Sulla base di tali linee strategiche il Gruppo IREN si prefigge al 2022 una </w:t>
      </w:r>
      <w:r>
        <w:rPr>
          <w:rFonts w:ascii="Arial" w:eastAsia="Times New Roman" w:hAnsi="Arial" w:cs="Arial"/>
          <w:b/>
          <w:bCs/>
        </w:rPr>
        <w:t>crescita dell’EBITDA pari a circa 170 milioni di euro</w:t>
      </w:r>
      <w:r>
        <w:rPr>
          <w:rFonts w:ascii="Arial" w:eastAsia="Times New Roman" w:hAnsi="Arial" w:cs="Arial"/>
        </w:rPr>
        <w:t>, che porterà il margine operativo lordo del Gruppo a </w:t>
      </w:r>
      <w:r>
        <w:rPr>
          <w:rFonts w:ascii="Arial" w:eastAsia="Times New Roman" w:hAnsi="Arial" w:cs="Arial"/>
          <w:b/>
          <w:bCs/>
        </w:rPr>
        <w:t>950 milioni di euro al 2022 </w:t>
      </w:r>
      <w:r>
        <w:rPr>
          <w:rFonts w:ascii="Arial" w:eastAsia="Times New Roman" w:hAnsi="Arial" w:cs="Arial"/>
        </w:rPr>
        <w:t>(</w:t>
      </w:r>
      <w:proofErr w:type="spellStart"/>
      <w:r>
        <w:rPr>
          <w:rFonts w:ascii="Arial" w:eastAsia="Times New Roman" w:hAnsi="Arial" w:cs="Arial"/>
        </w:rPr>
        <w:t>Cagr</w:t>
      </w:r>
      <w:proofErr w:type="spellEnd"/>
      <w:r>
        <w:rPr>
          <w:rFonts w:ascii="Arial" w:eastAsia="Times New Roman" w:hAnsi="Arial" w:cs="Arial"/>
        </w:rPr>
        <w:t xml:space="preserve"> 3,3%) e u</w:t>
      </w:r>
      <w:r>
        <w:rPr>
          <w:rFonts w:ascii="Arial" w:eastAsia="Times New Roman" w:hAnsi="Arial" w:cs="Arial"/>
          <w:b/>
          <w:bCs/>
        </w:rPr>
        <w:t>n utile di Gruppo pari a circa 265 milioni di euro</w:t>
      </w:r>
      <w:r>
        <w:rPr>
          <w:rFonts w:ascii="Arial" w:eastAsia="Times New Roman" w:hAnsi="Arial" w:cs="Arial"/>
        </w:rPr>
        <w:t>, in crescita del 52%.</w:t>
      </w:r>
    </w:p>
    <w:p w:rsidR="00DA1673" w:rsidRDefault="00DA1673">
      <w:bookmarkStart w:id="0" w:name="_GoBack"/>
      <w:bookmarkEnd w:id="0"/>
    </w:p>
    <w:sectPr w:rsidR="00DA16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41"/>
    <w:rsid w:val="00B26241"/>
    <w:rsid w:val="00DA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24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24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4749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2018-07-09T16:37:00Z</dcterms:created>
  <dcterms:modified xsi:type="dcterms:W3CDTF">2018-07-09T16:37:00Z</dcterms:modified>
</cp:coreProperties>
</file>