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8" w:rsidRDefault="00D72658" w:rsidP="00D72658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bookmarkStart w:id="0" w:name="_GoBack"/>
      <w:bookmarkEnd w:id="0"/>
      <w:r>
        <w:rPr>
          <w:rFonts w:ascii="Arial" w:hAnsi="Arial" w:cs="Arial"/>
          <w:b/>
          <w:bCs/>
          <w:sz w:val="29"/>
          <w:szCs w:val="29"/>
        </w:rPr>
        <w:t xml:space="preserve">Welfare. Anziani e persone con disabilità, la Regione investe su autonomia e vita sociale: 2 milioni di euro per installare ascensori e montascale negli stabili di edilizia residenziale pubblica. Il 30% dei nuclei assegnatari composto da over 65enni e in provincia di Bologna 335 fabbricati </w:t>
      </w:r>
      <w:proofErr w:type="spellStart"/>
      <w:r>
        <w:rPr>
          <w:rFonts w:ascii="Arial" w:hAnsi="Arial" w:cs="Arial"/>
          <w:b/>
          <w:bCs/>
          <w:sz w:val="29"/>
          <w:szCs w:val="29"/>
        </w:rPr>
        <w:t>Erp</w:t>
      </w:r>
      <w:proofErr w:type="spellEnd"/>
      <w:r>
        <w:rPr>
          <w:rFonts w:ascii="Arial" w:hAnsi="Arial" w:cs="Arial"/>
          <w:b/>
          <w:bCs/>
          <w:sz w:val="29"/>
          <w:szCs w:val="29"/>
        </w:rPr>
        <w:t xml:space="preserve"> costruiti nel decennio 1951-60. </w:t>
      </w:r>
      <w:proofErr w:type="spellStart"/>
      <w:r>
        <w:rPr>
          <w:rFonts w:ascii="Arial" w:hAnsi="Arial" w:cs="Arial"/>
          <w:b/>
          <w:bCs/>
          <w:sz w:val="29"/>
          <w:szCs w:val="29"/>
        </w:rPr>
        <w:t>Bonaccini</w:t>
      </w:r>
      <w:proofErr w:type="spellEnd"/>
      <w:r>
        <w:rPr>
          <w:rFonts w:ascii="Arial" w:hAnsi="Arial" w:cs="Arial"/>
          <w:b/>
          <w:bCs/>
          <w:sz w:val="29"/>
          <w:szCs w:val="29"/>
        </w:rPr>
        <w:t xml:space="preserve"> e </w:t>
      </w:r>
      <w:proofErr w:type="spellStart"/>
      <w:r>
        <w:rPr>
          <w:rFonts w:ascii="Arial" w:hAnsi="Arial" w:cs="Arial"/>
          <w:b/>
          <w:bCs/>
          <w:sz w:val="29"/>
          <w:szCs w:val="29"/>
        </w:rPr>
        <w:t>Gualmini</w:t>
      </w:r>
      <w:proofErr w:type="spellEnd"/>
      <w:r>
        <w:rPr>
          <w:rFonts w:ascii="Arial" w:hAnsi="Arial" w:cs="Arial"/>
          <w:b/>
          <w:bCs/>
          <w:sz w:val="29"/>
          <w:szCs w:val="29"/>
        </w:rPr>
        <w:t xml:space="preserve">: "Sicurezza e indipendenza contro il rischio isolamento" </w:t>
      </w:r>
    </w:p>
    <w:p w:rsidR="00D72658" w:rsidRDefault="00D72658" w:rsidP="00D72658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 xml:space="preserve">Interventi finanziati per la prima volta e confermati con ulteriori 2 milioni di euro per il 2019. Attraverso uno specifico bando, saranno sostenuti anche lavori per l'abbattimento degli </w:t>
      </w:r>
      <w:proofErr w:type="spellStart"/>
      <w:r>
        <w:rPr>
          <w:rStyle w:val="Enfasicorsivo"/>
          <w:rFonts w:ascii="Arial" w:hAnsi="Arial" w:cs="Arial"/>
          <w:sz w:val="29"/>
          <w:szCs w:val="29"/>
        </w:rPr>
        <w:t>ostacoliin</w:t>
      </w:r>
      <w:proofErr w:type="spellEnd"/>
      <w:r>
        <w:rPr>
          <w:rStyle w:val="Enfasicorsivo"/>
          <w:rFonts w:ascii="Arial" w:hAnsi="Arial" w:cs="Arial"/>
          <w:sz w:val="29"/>
          <w:szCs w:val="29"/>
        </w:rPr>
        <w:t xml:space="preserve"> appartamenti o spazi comuni: gradini, rampe troppo ripide, pavimenti scivolosi. Coperto fino all'80% dell'importo delle opere di adeguamento 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– Uno stabile senza ascensore può diventare un serio problema per gli anziani, anche autosufficienti, e le persone con disabilità, soprattutto se alle prese con problemi motori. Non uscire di casa, o farlo raramente, potrebbe impedire una normale vita relazionale. Un aiuto concreto arriva dalla </w:t>
      </w:r>
      <w:r>
        <w:rPr>
          <w:rStyle w:val="Enfasigrassetto"/>
          <w:rFonts w:ascii="Arial" w:hAnsi="Arial" w:cs="Arial"/>
        </w:rPr>
        <w:t>Regione Emilia-Romagna</w:t>
      </w:r>
      <w:r>
        <w:rPr>
          <w:rFonts w:ascii="Arial" w:hAnsi="Arial" w:cs="Arial"/>
        </w:rPr>
        <w:t xml:space="preserve">, che per la prima volta stanzia dei </w:t>
      </w:r>
      <w:r>
        <w:rPr>
          <w:rStyle w:val="Enfasigrassetto"/>
          <w:rFonts w:ascii="Arial" w:hAnsi="Arial" w:cs="Arial"/>
        </w:rPr>
        <w:t>fondi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per installare ascensori e montascale negli stabili di edilizia residenziale pubblica: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2 milioni di euro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per il 2018</w:t>
      </w:r>
      <w:r>
        <w:rPr>
          <w:rFonts w:ascii="Arial" w:hAnsi="Arial" w:cs="Arial"/>
        </w:rPr>
        <w:t>.  </w:t>
      </w:r>
      <w:r>
        <w:rPr>
          <w:rFonts w:ascii="Arial" w:hAnsi="Arial" w:cs="Arial"/>
        </w:rPr>
        <w:br/>
        <w:t>Attraverso uno specifico bando, saranno dunque finanziati, oltre a questi interventi, anche lavori per l’</w:t>
      </w:r>
      <w:r>
        <w:rPr>
          <w:rStyle w:val="Enfasigrassetto"/>
          <w:rFonts w:ascii="Arial" w:hAnsi="Arial" w:cs="Arial"/>
        </w:rPr>
        <w:t>abbattimento degli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ostacoli </w:t>
      </w:r>
      <w:r>
        <w:rPr>
          <w:rFonts w:ascii="Arial" w:hAnsi="Arial" w:cs="Arial"/>
        </w:rPr>
        <w:t xml:space="preserve">presenti in appartamenti o spazi comuni, all’interno dei palazzi, che costituiscono un limite o un impedimento per chi si muove con </w:t>
      </w:r>
      <w:proofErr w:type="spellStart"/>
      <w:r>
        <w:rPr>
          <w:rFonts w:ascii="Arial" w:hAnsi="Arial" w:cs="Arial"/>
        </w:rPr>
        <w:t>difficoltà</w:t>
      </w:r>
      <w:r>
        <w:rPr>
          <w:rStyle w:val="Enfasicorsivo"/>
          <w:rFonts w:ascii="Arial" w:hAnsi="Arial" w:cs="Arial"/>
        </w:rPr>
        <w:t>:</w:t>
      </w:r>
      <w:r>
        <w:rPr>
          <w:rFonts w:ascii="Arial" w:hAnsi="Arial" w:cs="Arial"/>
        </w:rPr>
        <w:t>ad</w:t>
      </w:r>
      <w:proofErr w:type="spellEnd"/>
      <w:r>
        <w:rPr>
          <w:rFonts w:ascii="Arial" w:hAnsi="Arial" w:cs="Arial"/>
        </w:rPr>
        <w:t xml:space="preserve"> esempio, dislivelli con gradini o rampe troppo ripide, corridoi e servizi troppo stretti, pavimentazioni scivolose. 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Style w:val="Enfasigrassetto"/>
          <w:rFonts w:ascii="Arial" w:hAnsi="Arial" w:cs="Arial"/>
        </w:rPr>
        <w:t>Comuni</w:t>
      </w:r>
      <w:r>
        <w:rPr>
          <w:rFonts w:ascii="Arial" w:hAnsi="Arial" w:cs="Arial"/>
        </w:rPr>
        <w:t xml:space="preserve"> proprietari degli alloggi, destinatari dei contributi regionali, potranno avvalersi delle </w:t>
      </w:r>
      <w:r>
        <w:rPr>
          <w:rStyle w:val="Enfasigrassetto"/>
          <w:rFonts w:ascii="Arial" w:hAnsi="Arial" w:cs="Arial"/>
        </w:rPr>
        <w:t xml:space="preserve">Acer </w:t>
      </w:r>
      <w:r>
        <w:rPr>
          <w:rFonts w:ascii="Arial" w:hAnsi="Arial" w:cs="Arial"/>
        </w:rPr>
        <w:t xml:space="preserve">(Aziende Casa Emilia-Romagna), in qualità di </w:t>
      </w:r>
      <w:proofErr w:type="spellStart"/>
      <w:r>
        <w:rPr>
          <w:rFonts w:ascii="Arial" w:hAnsi="Arial" w:cs="Arial"/>
        </w:rPr>
        <w:t>gestoridel</w:t>
      </w:r>
      <w:proofErr w:type="spellEnd"/>
      <w:r>
        <w:rPr>
          <w:rFonts w:ascii="Arial" w:hAnsi="Arial" w:cs="Arial"/>
        </w:rPr>
        <w:t xml:space="preserve"> patrimonio di Edilizia residenziale pubblica (</w:t>
      </w:r>
      <w:proofErr w:type="spellStart"/>
      <w:r>
        <w:rPr>
          <w:rFonts w:ascii="Arial" w:hAnsi="Arial" w:cs="Arial"/>
        </w:rPr>
        <w:t>Erp</w:t>
      </w:r>
      <w:proofErr w:type="spellEnd"/>
      <w:r>
        <w:rPr>
          <w:rFonts w:ascii="Arial" w:hAnsi="Arial" w:cs="Arial"/>
        </w:rPr>
        <w:t xml:space="preserve">) per effettuare i lavori. La Regione riconoscerà fino ad un </w:t>
      </w:r>
      <w:r>
        <w:rPr>
          <w:rStyle w:val="Enfasigrassetto"/>
          <w:rFonts w:ascii="Arial" w:hAnsi="Arial" w:cs="Arial"/>
        </w:rPr>
        <w:t>massimo dell’80% dell’importo complessivo</w:t>
      </w:r>
      <w:r>
        <w:rPr>
          <w:rFonts w:ascii="Arial" w:hAnsi="Arial" w:cs="Arial"/>
        </w:rPr>
        <w:t xml:space="preserve"> delle opere di adeguamento. </w:t>
      </w:r>
      <w:r>
        <w:rPr>
          <w:rFonts w:ascii="Arial" w:hAnsi="Arial" w:cs="Arial"/>
        </w:rPr>
        <w:br/>
        <w:t xml:space="preserve">In Emilia-Romagna gli </w:t>
      </w:r>
      <w:r>
        <w:rPr>
          <w:rStyle w:val="Enfasigrassetto"/>
          <w:rFonts w:ascii="Arial" w:hAnsi="Arial" w:cs="Arial"/>
        </w:rPr>
        <w:t>edifici popolari</w:t>
      </w:r>
      <w:r>
        <w:rPr>
          <w:rFonts w:ascii="Arial" w:hAnsi="Arial" w:cs="Arial"/>
        </w:rPr>
        <w:t xml:space="preserve"> sono </w:t>
      </w:r>
      <w:r>
        <w:rPr>
          <w:rStyle w:val="Enfasigrassetto"/>
          <w:rFonts w:ascii="Arial" w:hAnsi="Arial" w:cs="Arial"/>
        </w:rPr>
        <w:t>6.571</w:t>
      </w:r>
      <w:r>
        <w:rPr>
          <w:rFonts w:ascii="Arial" w:hAnsi="Arial" w:cs="Arial"/>
        </w:rPr>
        <w:t xml:space="preserve">, per un totale di </w:t>
      </w:r>
      <w:r>
        <w:rPr>
          <w:rStyle w:val="Enfasigrassetto"/>
          <w:rFonts w:ascii="Arial" w:hAnsi="Arial" w:cs="Arial"/>
        </w:rPr>
        <w:t>oltre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59 mila appartamenti</w:t>
      </w:r>
      <w:r>
        <w:rPr>
          <w:rFonts w:ascii="Arial" w:hAnsi="Arial" w:cs="Arial"/>
        </w:rPr>
        <w:t>; l’</w:t>
      </w:r>
      <w:r>
        <w:rPr>
          <w:rStyle w:val="Enfasigrassetto"/>
          <w:rFonts w:ascii="Arial" w:hAnsi="Arial" w:cs="Arial"/>
        </w:rPr>
        <w:t>età media</w:t>
      </w:r>
      <w:r>
        <w:rPr>
          <w:rFonts w:ascii="Arial" w:hAnsi="Arial" w:cs="Arial"/>
        </w:rPr>
        <w:t xml:space="preserve"> dei fabbricati è di </w:t>
      </w:r>
      <w:r>
        <w:rPr>
          <w:rStyle w:val="Enfasigrassetto"/>
          <w:rFonts w:ascii="Arial" w:hAnsi="Arial" w:cs="Arial"/>
        </w:rPr>
        <w:t>45 anni</w:t>
      </w:r>
      <w:r>
        <w:rPr>
          <w:rFonts w:ascii="Arial" w:hAnsi="Arial" w:cs="Arial"/>
        </w:rPr>
        <w:t xml:space="preserve"> e circa il </w:t>
      </w:r>
      <w:r>
        <w:rPr>
          <w:rStyle w:val="Enfasigrassetto"/>
          <w:rFonts w:ascii="Arial" w:hAnsi="Arial" w:cs="Arial"/>
        </w:rPr>
        <w:t>30%</w:t>
      </w:r>
      <w:r>
        <w:rPr>
          <w:rFonts w:ascii="Arial" w:hAnsi="Arial" w:cs="Arial"/>
        </w:rPr>
        <w:t xml:space="preserve"> dei nuclei assegnatari è composto </w:t>
      </w:r>
      <w:r>
        <w:rPr>
          <w:rStyle w:val="Enfasigrassetto"/>
          <w:rFonts w:ascii="Arial" w:hAnsi="Arial" w:cs="Arial"/>
        </w:rPr>
        <w:t>over 65enni</w:t>
      </w:r>
      <w:r>
        <w:rPr>
          <w:rFonts w:ascii="Arial" w:hAnsi="Arial" w:cs="Arial"/>
        </w:rPr>
        <w:t xml:space="preserve">. In particolare, </w:t>
      </w:r>
      <w:r>
        <w:rPr>
          <w:rStyle w:val="Enfasigrassetto"/>
          <w:rFonts w:ascii="Arial" w:hAnsi="Arial" w:cs="Arial"/>
        </w:rPr>
        <w:t>1.257</w:t>
      </w:r>
      <w:r>
        <w:rPr>
          <w:rFonts w:ascii="Arial" w:hAnsi="Arial" w:cs="Arial"/>
        </w:rPr>
        <w:t xml:space="preserve"> fabbricati risalgono al dopoguerra, essendo stati </w:t>
      </w:r>
      <w:r>
        <w:rPr>
          <w:rStyle w:val="Enfasigrassetto"/>
          <w:rFonts w:ascii="Arial" w:hAnsi="Arial" w:cs="Arial"/>
        </w:rPr>
        <w:t>costruiti negli anni tra il 1951 e il 1960</w:t>
      </w:r>
      <w:r>
        <w:rPr>
          <w:rFonts w:ascii="Arial" w:hAnsi="Arial" w:cs="Arial"/>
        </w:rPr>
        <w:t xml:space="preserve">, il decennio che ha visto lo sviluppo maggiore: </w:t>
      </w:r>
      <w:r>
        <w:rPr>
          <w:rStyle w:val="Enfasigrassetto"/>
          <w:rFonts w:ascii="Arial" w:hAnsi="Arial" w:cs="Arial"/>
        </w:rPr>
        <w:t>335 nella sola provincia di Bologna</w:t>
      </w:r>
      <w:r>
        <w:rPr>
          <w:rFonts w:ascii="Arial" w:hAnsi="Arial" w:cs="Arial"/>
        </w:rPr>
        <w:t>.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“Le persone anziane hanno sempre di più la necessità di vivere in modo indipendente e in sicurezza, di avere relazioni sociali che contrastino il rischio dell’isolamento- sottolinea il presidente della Regione, </w:t>
      </w:r>
      <w:r>
        <w:rPr>
          <w:rStyle w:val="Enfasigrassetto"/>
          <w:rFonts w:ascii="Arial" w:hAnsi="Arial" w:cs="Arial"/>
        </w:rPr>
        <w:t xml:space="preserve">Stefano </w:t>
      </w:r>
      <w:proofErr w:type="spellStart"/>
      <w:r>
        <w:rPr>
          <w:rStyle w:val="Enfasigrassetto"/>
          <w:rFonts w:ascii="Arial" w:hAnsi="Arial" w:cs="Arial"/>
        </w:rPr>
        <w:t>Bonaccini</w:t>
      </w:r>
      <w:proofErr w:type="spellEnd"/>
      <w:r>
        <w:rPr>
          <w:rFonts w:ascii="Arial" w:hAnsi="Arial" w:cs="Arial"/>
        </w:rPr>
        <w:t xml:space="preserve">-. La propria casa deve essere il luogo che completa una socialità pienamente vissuta, anche all’esterno, per sé stessi, nel rapporto con gli amici e con la famiglia, e tutti sappiamo bene quanto i nonni e, appunto, gli anziani in generale siano importanti per figli e nipoti e, più in generale, per la trasmissione di esperienze e </w:t>
      </w:r>
      <w:proofErr w:type="spellStart"/>
      <w:r>
        <w:rPr>
          <w:rFonts w:ascii="Arial" w:hAnsi="Arial" w:cs="Arial"/>
        </w:rPr>
        <w:t>saperi</w:t>
      </w:r>
      <w:proofErr w:type="spellEnd"/>
      <w:r>
        <w:rPr>
          <w:rFonts w:ascii="Arial" w:hAnsi="Arial" w:cs="Arial"/>
        </w:rPr>
        <w:t xml:space="preserve"> ai più giovani. Gli interventi che per la prima volta abbiamo deciso di finanziare, dagli ascensori ai montascale, non rappresentano solo una miglioria per un fabbricato o un appartamento, ma significano maggiore libertà e, laddove possibile, poter vivere a casa invece che in strutture di ricovero; interventi che si rivelano ancor più decisivi per le persone con disabilità, che allo stesso modo hanno diritto alla piena autonomia. Un </w:t>
      </w:r>
      <w:r>
        <w:rPr>
          <w:rFonts w:ascii="Arial" w:hAnsi="Arial" w:cs="Arial"/>
        </w:rPr>
        <w:lastRenderedPageBreak/>
        <w:t>impegno, il nostro- chiude il presidente della Giunta- che confermiamo anche per il prossimo anno con ulteriori due milioni di euro”.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“Arriviamo a questa decisione dopo un percorso d'ascolto degli amministratori e delle realtà   locali, dei sindacati dei pensionati e delle associazioni- afferma la vicepresidente della Giunta con delega al Welfare, </w:t>
      </w:r>
      <w:r>
        <w:rPr>
          <w:rStyle w:val="Enfasigrassetto"/>
          <w:rFonts w:ascii="Arial" w:hAnsi="Arial" w:cs="Arial"/>
        </w:rPr>
        <w:t>Elisabetta</w:t>
      </w:r>
      <w:r>
        <w:rPr>
          <w:rFonts w:ascii="Arial" w:hAnsi="Arial" w:cs="Arial"/>
        </w:rPr>
        <w:t xml:space="preserve"> </w:t>
      </w:r>
      <w:proofErr w:type="spellStart"/>
      <w:r>
        <w:rPr>
          <w:rStyle w:val="Enfasigrassetto"/>
          <w:rFonts w:ascii="Arial" w:hAnsi="Arial" w:cs="Arial"/>
        </w:rPr>
        <w:t>Gualmini</w:t>
      </w:r>
      <w:proofErr w:type="spellEnd"/>
      <w:r>
        <w:rPr>
          <w:rFonts w:ascii="Arial" w:hAnsi="Arial" w:cs="Arial"/>
        </w:rPr>
        <w:t>-. La mobilità e l'accessibilità degli anziani nelle case e nelle città sono obiettivi che qualsiasi comunità civile dovrebbe porsi. Non si può pensare di segregare le persone in casa o pensare che la fase della vecchiaia non richieda specifici servizi e altrettanti specifici adattamenti. Abbiamo lavorato molto sulle case popolari- prosegue- cercando una migliore equità. Ora è tempo di occuparci di chi vive in condomini molto vecchi e poco adatti a muoversi anche solo da un piano all’altro. Gli anziani e i bambini, categorie fragili e meno autonome degli adulti, sono da sempre al centro del nostro impegno”.</w:t>
      </w:r>
    </w:p>
    <w:p w:rsidR="00D72658" w:rsidRDefault="00D72658" w:rsidP="00D72658">
      <w:pPr>
        <w:jc w:val="both"/>
        <w:rPr>
          <w:rFonts w:ascii="Arial" w:hAnsi="Arial" w:cs="Arial"/>
        </w:rPr>
      </w:pPr>
      <w:proofErr w:type="spellStart"/>
      <w:r>
        <w:rPr>
          <w:rStyle w:val="Enfasigrassetto"/>
          <w:rFonts w:ascii="Arial" w:hAnsi="Arial" w:cs="Arial"/>
        </w:rPr>
        <w:t>Erp</w:t>
      </w:r>
      <w:proofErr w:type="spellEnd"/>
      <w:r>
        <w:rPr>
          <w:rStyle w:val="Enfasigrassetto"/>
          <w:rFonts w:ascii="Arial" w:hAnsi="Arial" w:cs="Arial"/>
        </w:rPr>
        <w:t>, oltre 1.200 fabbricati costruiti nel dopoguerra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In Emilia-Romagna gli </w:t>
      </w:r>
      <w:r>
        <w:rPr>
          <w:rStyle w:val="Enfasigrassetto"/>
          <w:rFonts w:ascii="Arial" w:hAnsi="Arial" w:cs="Arial"/>
        </w:rPr>
        <w:t>edifici popolari</w:t>
      </w:r>
      <w:r>
        <w:rPr>
          <w:rFonts w:ascii="Arial" w:hAnsi="Arial" w:cs="Arial"/>
        </w:rPr>
        <w:t xml:space="preserve"> sono </w:t>
      </w:r>
      <w:r>
        <w:rPr>
          <w:rStyle w:val="Enfasigrassetto"/>
          <w:rFonts w:ascii="Arial" w:hAnsi="Arial" w:cs="Arial"/>
        </w:rPr>
        <w:t>6.571</w:t>
      </w:r>
      <w:r>
        <w:rPr>
          <w:rFonts w:ascii="Arial" w:hAnsi="Arial" w:cs="Arial"/>
        </w:rPr>
        <w:t xml:space="preserve">, per un totale di </w:t>
      </w:r>
      <w:r>
        <w:rPr>
          <w:rStyle w:val="Enfasigrassetto"/>
          <w:rFonts w:ascii="Arial" w:hAnsi="Arial" w:cs="Arial"/>
        </w:rPr>
        <w:t>oltre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59 mila appartamenti </w:t>
      </w:r>
      <w:r>
        <w:rPr>
          <w:rFonts w:ascii="Arial" w:hAnsi="Arial" w:cs="Arial"/>
        </w:rPr>
        <w:t>(59.449); l’</w:t>
      </w:r>
      <w:r>
        <w:rPr>
          <w:rStyle w:val="Enfasigrassetto"/>
          <w:rFonts w:ascii="Arial" w:hAnsi="Arial" w:cs="Arial"/>
        </w:rPr>
        <w:t>età media</w:t>
      </w:r>
      <w:r>
        <w:rPr>
          <w:rFonts w:ascii="Arial" w:hAnsi="Arial" w:cs="Arial"/>
        </w:rPr>
        <w:t xml:space="preserve"> dei fabbricati è di </w:t>
      </w:r>
      <w:r>
        <w:rPr>
          <w:rStyle w:val="Enfasigrassetto"/>
          <w:rFonts w:ascii="Arial" w:hAnsi="Arial" w:cs="Arial"/>
        </w:rPr>
        <w:t>45 anni</w:t>
      </w:r>
      <w:r>
        <w:rPr>
          <w:rFonts w:ascii="Arial" w:hAnsi="Arial" w:cs="Arial"/>
        </w:rPr>
        <w:t xml:space="preserve"> e circa il 39% risale a prima del 1960, il 26% è stata costruita negli anni compresi tra il 1960 ed il 1980 e i rimanenti edifici (35% del totale) sono di epoca successiva. In particolare, </w:t>
      </w:r>
      <w:r>
        <w:rPr>
          <w:rStyle w:val="Enfasigrassetto"/>
          <w:rFonts w:ascii="Arial" w:hAnsi="Arial" w:cs="Arial"/>
        </w:rPr>
        <w:t>1.257</w:t>
      </w:r>
      <w:r>
        <w:rPr>
          <w:rFonts w:ascii="Arial" w:hAnsi="Arial" w:cs="Arial"/>
        </w:rPr>
        <w:t xml:space="preserve"> fabbricati (per 8.230 alloggi) risalgono al dopoguerra, essendo stati </w:t>
      </w:r>
      <w:r>
        <w:rPr>
          <w:rStyle w:val="Enfasigrassetto"/>
          <w:rFonts w:ascii="Arial" w:hAnsi="Arial" w:cs="Arial"/>
        </w:rPr>
        <w:t>costruiti negli anni tra il 1951 e il 1960</w:t>
      </w:r>
      <w:r>
        <w:rPr>
          <w:rFonts w:ascii="Arial" w:hAnsi="Arial" w:cs="Arial"/>
        </w:rPr>
        <w:t xml:space="preserve">, il decennio che ha visto lo sviluppo </w:t>
      </w:r>
      <w:proofErr w:type="spellStart"/>
      <w:r>
        <w:rPr>
          <w:rFonts w:ascii="Arial" w:hAnsi="Arial" w:cs="Arial"/>
        </w:rPr>
        <w:t>maggiore.Stabili</w:t>
      </w:r>
      <w:proofErr w:type="spellEnd"/>
      <w:r>
        <w:rPr>
          <w:rFonts w:ascii="Arial" w:hAnsi="Arial" w:cs="Arial"/>
        </w:rPr>
        <w:t xml:space="preserve">, questi, che sono concentrati per lo più nelle province di </w:t>
      </w:r>
      <w:r>
        <w:rPr>
          <w:rStyle w:val="Enfasigrassetto"/>
          <w:rFonts w:ascii="Arial" w:hAnsi="Arial" w:cs="Arial"/>
        </w:rPr>
        <w:t>Bologna</w:t>
      </w:r>
      <w:r>
        <w:rPr>
          <w:rFonts w:ascii="Arial" w:hAnsi="Arial" w:cs="Arial"/>
        </w:rPr>
        <w:t xml:space="preserve"> (335) e </w:t>
      </w:r>
      <w:r>
        <w:rPr>
          <w:rStyle w:val="Enfasigrassetto"/>
          <w:rFonts w:ascii="Arial" w:hAnsi="Arial" w:cs="Arial"/>
        </w:rPr>
        <w:t xml:space="preserve">Ferrara </w:t>
      </w:r>
      <w:r>
        <w:rPr>
          <w:rFonts w:ascii="Arial" w:hAnsi="Arial" w:cs="Arial"/>
        </w:rPr>
        <w:t xml:space="preserve">(258) e, a seguire, a </w:t>
      </w:r>
      <w:r>
        <w:rPr>
          <w:rStyle w:val="Enfasigrassetto"/>
          <w:rFonts w:ascii="Arial" w:hAnsi="Arial" w:cs="Arial"/>
        </w:rPr>
        <w:t xml:space="preserve">Parma </w:t>
      </w:r>
      <w:r>
        <w:rPr>
          <w:rFonts w:ascii="Arial" w:hAnsi="Arial" w:cs="Arial"/>
        </w:rPr>
        <w:t xml:space="preserve">(140), </w:t>
      </w:r>
      <w:r>
        <w:rPr>
          <w:rStyle w:val="Enfasigrassetto"/>
          <w:rFonts w:ascii="Arial" w:hAnsi="Arial" w:cs="Arial"/>
        </w:rPr>
        <w:t>Forlì- Cesena</w:t>
      </w:r>
      <w:r>
        <w:rPr>
          <w:rFonts w:ascii="Arial" w:hAnsi="Arial" w:cs="Arial"/>
        </w:rPr>
        <w:t xml:space="preserve"> (130),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 (114),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(87), </w:t>
      </w:r>
      <w:r>
        <w:rPr>
          <w:rStyle w:val="Enfasigrassetto"/>
          <w:rFonts w:ascii="Arial" w:hAnsi="Arial" w:cs="Arial"/>
        </w:rPr>
        <w:t>Ravenna</w:t>
      </w:r>
      <w:r>
        <w:rPr>
          <w:rFonts w:ascii="Arial" w:hAnsi="Arial" w:cs="Arial"/>
        </w:rPr>
        <w:t xml:space="preserve"> (80), </w:t>
      </w:r>
      <w:r>
        <w:rPr>
          <w:rStyle w:val="Enfasigrassetto"/>
          <w:rFonts w:ascii="Arial" w:hAnsi="Arial" w:cs="Arial"/>
        </w:rPr>
        <w:t xml:space="preserve">Piacenza </w:t>
      </w:r>
      <w:r>
        <w:rPr>
          <w:rFonts w:ascii="Arial" w:hAnsi="Arial" w:cs="Arial"/>
        </w:rPr>
        <w:t xml:space="preserve">(65) e </w:t>
      </w:r>
      <w:r>
        <w:rPr>
          <w:rStyle w:val="Enfasigrassetto"/>
          <w:rFonts w:ascii="Arial" w:hAnsi="Arial" w:cs="Arial"/>
        </w:rPr>
        <w:t>Rimini</w:t>
      </w:r>
      <w:r>
        <w:rPr>
          <w:rFonts w:ascii="Arial" w:hAnsi="Arial" w:cs="Arial"/>
        </w:rPr>
        <w:t xml:space="preserve"> (48). Minore, complessivamente, è l’età degli alloggi, ristrutturati in parte nel corso degli anni. Sono invece oltre </w:t>
      </w:r>
      <w:r>
        <w:rPr>
          <w:rStyle w:val="Enfasigrassetto"/>
          <w:rFonts w:ascii="Arial" w:hAnsi="Arial" w:cs="Arial"/>
        </w:rPr>
        <w:t>15.000</w:t>
      </w:r>
      <w:r>
        <w:rPr>
          <w:rFonts w:ascii="Arial" w:hAnsi="Arial" w:cs="Arial"/>
        </w:rPr>
        <w:t xml:space="preserve"> gli </w:t>
      </w:r>
      <w:r>
        <w:rPr>
          <w:rStyle w:val="Enfasigrassetto"/>
          <w:rFonts w:ascii="Arial" w:hAnsi="Arial" w:cs="Arial"/>
        </w:rPr>
        <w:t>alloggi</w:t>
      </w:r>
      <w:r>
        <w:rPr>
          <w:rFonts w:ascii="Arial" w:hAnsi="Arial" w:cs="Arial"/>
        </w:rPr>
        <w:t xml:space="preserve"> di edilizia residenziale popolare </w:t>
      </w:r>
      <w:r>
        <w:rPr>
          <w:rStyle w:val="Enfasigrassetto"/>
          <w:rFonts w:ascii="Arial" w:hAnsi="Arial" w:cs="Arial"/>
        </w:rPr>
        <w:t>costruiti tra il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 xml:space="preserve">1970 </w:t>
      </w:r>
      <w:r>
        <w:rPr>
          <w:rFonts w:ascii="Arial" w:hAnsi="Arial" w:cs="Arial"/>
        </w:rPr>
        <w:t>e il</w:t>
      </w:r>
      <w:r>
        <w:rPr>
          <w:rStyle w:val="Enfasigrassetto"/>
          <w:rFonts w:ascii="Arial" w:hAnsi="Arial" w:cs="Arial"/>
        </w:rPr>
        <w:t xml:space="preserve"> 1980</w:t>
      </w:r>
      <w:r>
        <w:rPr>
          <w:rFonts w:ascii="Arial" w:hAnsi="Arial" w:cs="Arial"/>
        </w:rPr>
        <w:t xml:space="preserve">: 5.570 sono ubicati nella provincia di </w:t>
      </w:r>
      <w:r>
        <w:rPr>
          <w:rStyle w:val="Enfasigrassetto"/>
          <w:rFonts w:ascii="Arial" w:hAnsi="Arial" w:cs="Arial"/>
        </w:rPr>
        <w:t>Bologna</w:t>
      </w:r>
      <w:r>
        <w:rPr>
          <w:rFonts w:ascii="Arial" w:hAnsi="Arial" w:cs="Arial"/>
        </w:rPr>
        <w:t xml:space="preserve">, 1.808 a </w:t>
      </w:r>
      <w:r>
        <w:rPr>
          <w:rStyle w:val="Enfasigrassetto"/>
          <w:rFonts w:ascii="Arial" w:hAnsi="Arial" w:cs="Arial"/>
        </w:rPr>
        <w:t>Modena</w:t>
      </w:r>
      <w:r>
        <w:rPr>
          <w:rFonts w:ascii="Arial" w:hAnsi="Arial" w:cs="Arial"/>
        </w:rPr>
        <w:t xml:space="preserve">, 1.758 a </w:t>
      </w:r>
      <w:r>
        <w:rPr>
          <w:rStyle w:val="Enfasigrassetto"/>
          <w:rFonts w:ascii="Arial" w:hAnsi="Arial" w:cs="Arial"/>
        </w:rPr>
        <w:t xml:space="preserve">Ferrara; Parma ne conta </w:t>
      </w:r>
      <w:r>
        <w:rPr>
          <w:rFonts w:ascii="Arial" w:hAnsi="Arial" w:cs="Arial"/>
        </w:rPr>
        <w:t xml:space="preserve">1.468,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1.053, </w:t>
      </w:r>
      <w:r>
        <w:rPr>
          <w:rStyle w:val="Enfasigrassetto"/>
          <w:rFonts w:ascii="Arial" w:hAnsi="Arial" w:cs="Arial"/>
        </w:rPr>
        <w:t>Ravenna</w:t>
      </w:r>
      <w:r>
        <w:rPr>
          <w:rFonts w:ascii="Arial" w:hAnsi="Arial" w:cs="Arial"/>
        </w:rPr>
        <w:t xml:space="preserve"> 976, </w:t>
      </w:r>
      <w:r>
        <w:rPr>
          <w:rStyle w:val="Enfasigrassetto"/>
          <w:rFonts w:ascii="Arial" w:hAnsi="Arial" w:cs="Arial"/>
        </w:rPr>
        <w:t>Forlì-Cesena</w:t>
      </w:r>
      <w:r>
        <w:rPr>
          <w:rFonts w:ascii="Arial" w:hAnsi="Arial" w:cs="Arial"/>
        </w:rPr>
        <w:t xml:space="preserve"> 964, </w:t>
      </w:r>
      <w:r>
        <w:rPr>
          <w:rStyle w:val="Enfasigrassetto"/>
          <w:rFonts w:ascii="Arial" w:hAnsi="Arial" w:cs="Arial"/>
        </w:rPr>
        <w:t>Piacenza</w:t>
      </w:r>
      <w:r>
        <w:rPr>
          <w:rFonts w:ascii="Arial" w:hAnsi="Arial" w:cs="Arial"/>
        </w:rPr>
        <w:t xml:space="preserve"> 719 e </w:t>
      </w:r>
      <w:r>
        <w:rPr>
          <w:rStyle w:val="Enfasigrassetto"/>
          <w:rFonts w:ascii="Arial" w:hAnsi="Arial" w:cs="Arial"/>
        </w:rPr>
        <w:t>Rimini</w:t>
      </w:r>
      <w:r>
        <w:rPr>
          <w:rFonts w:ascii="Arial" w:hAnsi="Arial" w:cs="Arial"/>
        </w:rPr>
        <w:t xml:space="preserve"> 698. 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percentuale </w:t>
      </w:r>
      <w:r>
        <w:rPr>
          <w:rStyle w:val="Enfasigrassetto"/>
          <w:rFonts w:ascii="Arial" w:hAnsi="Arial" w:cs="Arial"/>
        </w:rPr>
        <w:t>elevata di fabbricati</w:t>
      </w:r>
      <w:r>
        <w:rPr>
          <w:rFonts w:ascii="Arial" w:hAnsi="Arial" w:cs="Arial"/>
        </w:rPr>
        <w:t>, soprattutto quelli meno recenti,</w:t>
      </w:r>
      <w:r>
        <w:rPr>
          <w:rStyle w:val="Enfasigrassetto"/>
          <w:rFonts w:ascii="Arial" w:hAnsi="Arial" w:cs="Arial"/>
        </w:rPr>
        <w:t xml:space="preserve"> non è dotata di ascensore</w:t>
      </w:r>
      <w:r>
        <w:rPr>
          <w:rFonts w:ascii="Arial" w:hAnsi="Arial" w:cs="Arial"/>
        </w:rPr>
        <w:t xml:space="preserve"> o necessita di interventi per rimuovere le </w:t>
      </w:r>
      <w:r>
        <w:rPr>
          <w:rStyle w:val="Enfasigrassetto"/>
          <w:rFonts w:ascii="Arial" w:hAnsi="Arial" w:cs="Arial"/>
        </w:rPr>
        <w:t>barriere architettoniche</w:t>
      </w:r>
      <w:r>
        <w:rPr>
          <w:rFonts w:ascii="Arial" w:hAnsi="Arial" w:cs="Arial"/>
        </w:rPr>
        <w:t xml:space="preserve"> all’interno delle abitazioni rendendole in tal modo più comode e funzionali, dal momento che circa il 30% dei nuclei assegnatari è composto da anziani (età superiore a 65 anni).  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Bando 2017 per l’abbattimento delle barriere architettoniche: contributi a 633 famiglie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Nel</w:t>
      </w:r>
      <w:r>
        <w:rPr>
          <w:rStyle w:val="Enfasigrassetto"/>
          <w:rFonts w:ascii="Arial" w:hAnsi="Arial" w:cs="Arial"/>
        </w:rPr>
        <w:t xml:space="preserve"> 2017</w:t>
      </w:r>
      <w:r>
        <w:rPr>
          <w:rFonts w:ascii="Arial" w:hAnsi="Arial" w:cs="Arial"/>
        </w:rPr>
        <w:t xml:space="preserve"> la Regione, attraverso uno specifico bando, ha finanziato con </w:t>
      </w:r>
      <w:r>
        <w:rPr>
          <w:rStyle w:val="Enfasigrassetto"/>
          <w:rFonts w:ascii="Arial" w:hAnsi="Arial" w:cs="Arial"/>
        </w:rPr>
        <w:t>2 milioni di euro</w:t>
      </w:r>
      <w:r>
        <w:rPr>
          <w:rFonts w:ascii="Arial" w:hAnsi="Arial" w:cs="Arial"/>
        </w:rPr>
        <w:t xml:space="preserve"> le opere per l’abbattimento delle barriere architettoniche domestiche, quindi in abitazioni o nelle parti comuni degli edifici di residenza. Sono state </w:t>
      </w:r>
      <w:r>
        <w:rPr>
          <w:rStyle w:val="Enfasigrassetto"/>
          <w:rFonts w:ascii="Arial" w:hAnsi="Arial" w:cs="Arial"/>
        </w:rPr>
        <w:t>633</w:t>
      </w:r>
      <w:r>
        <w:rPr>
          <w:rFonts w:ascii="Arial" w:hAnsi="Arial" w:cs="Arial"/>
        </w:rPr>
        <w:t xml:space="preserve"> le </w:t>
      </w:r>
      <w:r>
        <w:rPr>
          <w:rStyle w:val="Enfasigrassetto"/>
          <w:rFonts w:ascii="Arial" w:hAnsi="Arial" w:cs="Arial"/>
        </w:rPr>
        <w:t>famiglie</w:t>
      </w:r>
      <w:r>
        <w:rPr>
          <w:rFonts w:ascii="Arial" w:hAnsi="Arial" w:cs="Arial"/>
        </w:rPr>
        <w:t xml:space="preserve"> che hanno ricevuto i contributi per la realizzazione degli interventi: </w:t>
      </w:r>
      <w:r>
        <w:rPr>
          <w:rStyle w:val="Enfasigrassetto"/>
          <w:rFonts w:ascii="Arial" w:hAnsi="Arial" w:cs="Arial"/>
        </w:rPr>
        <w:t xml:space="preserve">491 </w:t>
      </w:r>
      <w:r>
        <w:rPr>
          <w:rFonts w:ascii="Arial" w:hAnsi="Arial" w:cs="Arial"/>
        </w:rPr>
        <w:t xml:space="preserve">hanno riguardato </w:t>
      </w:r>
      <w:r>
        <w:rPr>
          <w:rStyle w:val="Enfasigrassetto"/>
          <w:rFonts w:ascii="Arial" w:hAnsi="Arial" w:cs="Arial"/>
        </w:rPr>
        <w:t>persone totalmente invalide</w:t>
      </w:r>
      <w:r>
        <w:rPr>
          <w:rFonts w:ascii="Arial" w:hAnsi="Arial" w:cs="Arial"/>
        </w:rPr>
        <w:t xml:space="preserve"> e </w:t>
      </w:r>
      <w:r>
        <w:rPr>
          <w:rStyle w:val="Enfasigrassetto"/>
          <w:rFonts w:ascii="Arial" w:hAnsi="Arial" w:cs="Arial"/>
        </w:rPr>
        <w:t>142</w:t>
      </w:r>
      <w:r>
        <w:rPr>
          <w:rFonts w:ascii="Arial" w:hAnsi="Arial" w:cs="Arial"/>
        </w:rPr>
        <w:t xml:space="preserve"> quelle con una </w:t>
      </w:r>
      <w:r>
        <w:rPr>
          <w:rStyle w:val="Enfasigrassetto"/>
          <w:rFonts w:ascii="Arial" w:hAnsi="Arial" w:cs="Arial"/>
        </w:rPr>
        <w:t>invalidità parziale</w:t>
      </w:r>
      <w:r>
        <w:rPr>
          <w:rFonts w:ascii="Arial" w:hAnsi="Arial" w:cs="Arial"/>
        </w:rPr>
        <w:t>. /</w:t>
      </w:r>
      <w:proofErr w:type="spellStart"/>
      <w:r>
        <w:rPr>
          <w:rFonts w:ascii="Arial" w:hAnsi="Arial" w:cs="Arial"/>
        </w:rPr>
        <w:t>Ti.Ga</w:t>
      </w:r>
      <w:proofErr w:type="spellEnd"/>
      <w:r>
        <w:rPr>
          <w:rFonts w:ascii="Arial" w:hAnsi="Arial" w:cs="Arial"/>
        </w:rPr>
        <w:t>.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D72658" w:rsidRDefault="00D72658" w:rsidP="00D726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C6C69" w:rsidRDefault="00EC6C69"/>
    <w:sectPr w:rsidR="00EC6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58"/>
    <w:rsid w:val="00D72658"/>
    <w:rsid w:val="00EC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2658"/>
  </w:style>
  <w:style w:type="character" w:styleId="Enfasicorsivo">
    <w:name w:val="Emphasis"/>
    <w:basedOn w:val="Carpredefinitoparagrafo"/>
    <w:uiPriority w:val="20"/>
    <w:qFormat/>
    <w:rsid w:val="00D72658"/>
    <w:rPr>
      <w:i/>
      <w:iCs/>
    </w:rPr>
  </w:style>
  <w:style w:type="character" w:styleId="Enfasigrassetto">
    <w:name w:val="Strong"/>
    <w:basedOn w:val="Carpredefinitoparagrafo"/>
    <w:uiPriority w:val="22"/>
    <w:qFormat/>
    <w:rsid w:val="00D726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26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72658"/>
  </w:style>
  <w:style w:type="character" w:styleId="Enfasicorsivo">
    <w:name w:val="Emphasis"/>
    <w:basedOn w:val="Carpredefinitoparagrafo"/>
    <w:uiPriority w:val="20"/>
    <w:qFormat/>
    <w:rsid w:val="00D72658"/>
    <w:rPr>
      <w:i/>
      <w:iCs/>
    </w:rPr>
  </w:style>
  <w:style w:type="character" w:styleId="Enfasigrassetto">
    <w:name w:val="Strong"/>
    <w:basedOn w:val="Carpredefinitoparagrafo"/>
    <w:uiPriority w:val="22"/>
    <w:qFormat/>
    <w:rsid w:val="00D726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7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952</Words>
  <Characters>5429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2018-04-05T10:29:00Z</dcterms:created>
  <dcterms:modified xsi:type="dcterms:W3CDTF">2018-04-05T10:29:00Z</dcterms:modified>
</cp:coreProperties>
</file>