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97C" w:rsidRDefault="0033097C" w:rsidP="0033097C">
      <w:pPr>
        <w:ind w:left="2832" w:firstLine="708"/>
        <w:jc w:val="both"/>
        <w:rPr>
          <w:rFonts w:ascii="Verdana" w:hAnsi="Verdana"/>
          <w:u w:val="single"/>
        </w:rPr>
      </w:pPr>
    </w:p>
    <w:p w:rsidR="0033097C" w:rsidRDefault="0033097C" w:rsidP="0033097C">
      <w:pPr>
        <w:ind w:left="2832" w:firstLine="708"/>
        <w:jc w:val="both"/>
        <w:rPr>
          <w:rFonts w:ascii="Verdana" w:hAnsi="Verdana"/>
          <w:u w:val="single"/>
        </w:rPr>
      </w:pPr>
    </w:p>
    <w:p w:rsidR="0033097C" w:rsidRDefault="0033097C" w:rsidP="0033097C">
      <w:pPr>
        <w:ind w:left="2832" w:firstLine="708"/>
        <w:jc w:val="both"/>
        <w:rPr>
          <w:rFonts w:ascii="Verdana" w:hAnsi="Verdana"/>
          <w:u w:val="single"/>
        </w:rPr>
      </w:pPr>
    </w:p>
    <w:p w:rsidR="0033097C" w:rsidRDefault="0033097C" w:rsidP="0033097C">
      <w:pPr>
        <w:jc w:val="both"/>
        <w:rPr>
          <w:rFonts w:ascii="Verdana" w:hAnsi="Verdana"/>
          <w:u w:val="single"/>
        </w:rPr>
      </w:pPr>
      <w:r>
        <w:rPr>
          <w:rFonts w:ascii="Verdana" w:hAnsi="Verdana"/>
          <w:noProof/>
          <w:u w:val="single"/>
          <w:lang w:eastAsia="it-IT"/>
        </w:rPr>
        <w:drawing>
          <wp:inline distT="0" distB="0" distL="0" distR="0" wp14:anchorId="1F99F530" wp14:editId="705FFB1E">
            <wp:extent cx="2253585" cy="863600"/>
            <wp:effectExtent l="0" t="0" r="0" b="0"/>
            <wp:docPr id="2" name="Immagine 2" descr="C:\Users\Daniele\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niele\Desktop\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2641" cy="886231"/>
                    </a:xfrm>
                    <a:prstGeom prst="rect">
                      <a:avLst/>
                    </a:prstGeom>
                    <a:noFill/>
                    <a:ln>
                      <a:noFill/>
                    </a:ln>
                  </pic:spPr>
                </pic:pic>
              </a:graphicData>
            </a:graphic>
          </wp:inline>
        </w:drawing>
      </w:r>
      <w:r w:rsidRPr="0033097C">
        <w:rPr>
          <w:rFonts w:ascii="Verdana" w:hAnsi="Verdana"/>
        </w:rPr>
        <w:tab/>
      </w:r>
      <w:r w:rsidRPr="0033097C">
        <w:rPr>
          <w:rFonts w:ascii="Verdana" w:hAnsi="Verdana"/>
        </w:rPr>
        <w:tab/>
      </w:r>
      <w:r w:rsidRPr="0033097C">
        <w:rPr>
          <w:rFonts w:ascii="Verdana" w:hAnsi="Verdana"/>
        </w:rPr>
        <w:tab/>
      </w:r>
      <w:r w:rsidR="00E738EA">
        <w:rPr>
          <w:rFonts w:ascii="Verdana" w:hAnsi="Verdana"/>
        </w:rPr>
        <w:t xml:space="preserve">   </w:t>
      </w:r>
      <w:r>
        <w:rPr>
          <w:rFonts w:ascii="Verdana" w:hAnsi="Verdana"/>
          <w:u w:val="single"/>
        </w:rPr>
        <w:t xml:space="preserve"> </w:t>
      </w:r>
      <w:r>
        <w:rPr>
          <w:rFonts w:ascii="Verdana" w:hAnsi="Verdana"/>
          <w:noProof/>
          <w:u w:val="single"/>
          <w:lang w:eastAsia="it-IT"/>
        </w:rPr>
        <w:drawing>
          <wp:inline distT="0" distB="0" distL="0" distR="0">
            <wp:extent cx="2286000" cy="1333500"/>
            <wp:effectExtent l="0" t="0" r="0" b="0"/>
            <wp:docPr id="3" name="Immagine 3" descr="C:\Users\Daniele\Desktop\unione-commercianti-piacen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niele\Desktop\unione-commercianti-piacenz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1333500"/>
                    </a:xfrm>
                    <a:prstGeom prst="rect">
                      <a:avLst/>
                    </a:prstGeom>
                    <a:noFill/>
                    <a:ln>
                      <a:noFill/>
                    </a:ln>
                  </pic:spPr>
                </pic:pic>
              </a:graphicData>
            </a:graphic>
          </wp:inline>
        </w:drawing>
      </w:r>
    </w:p>
    <w:p w:rsidR="0033097C" w:rsidRDefault="0033097C" w:rsidP="0033097C">
      <w:pPr>
        <w:ind w:left="2832" w:firstLine="708"/>
        <w:jc w:val="both"/>
        <w:rPr>
          <w:rFonts w:ascii="Verdana" w:hAnsi="Verdana"/>
          <w:u w:val="single"/>
        </w:rPr>
      </w:pPr>
    </w:p>
    <w:p w:rsidR="0033097C" w:rsidRDefault="0033097C" w:rsidP="0033097C">
      <w:pPr>
        <w:ind w:left="2832" w:firstLine="708"/>
        <w:jc w:val="both"/>
        <w:rPr>
          <w:rFonts w:ascii="Verdana" w:hAnsi="Verdana"/>
          <w:u w:val="single"/>
        </w:rPr>
      </w:pPr>
    </w:p>
    <w:p w:rsidR="00577AC4" w:rsidRPr="0033097C" w:rsidRDefault="00577AC4" w:rsidP="0033097C">
      <w:pPr>
        <w:ind w:left="2832" w:firstLine="708"/>
        <w:jc w:val="both"/>
        <w:rPr>
          <w:rFonts w:ascii="Verdana" w:hAnsi="Verdana"/>
          <w:u w:val="single"/>
        </w:rPr>
      </w:pPr>
      <w:r w:rsidRPr="0033097C">
        <w:rPr>
          <w:rFonts w:ascii="Verdana" w:hAnsi="Verdana"/>
          <w:u w:val="single"/>
        </w:rPr>
        <w:t>Comunicato stampa</w:t>
      </w:r>
    </w:p>
    <w:p w:rsidR="0033097C" w:rsidRDefault="0033097C" w:rsidP="0033097C">
      <w:pPr>
        <w:jc w:val="both"/>
        <w:rPr>
          <w:rFonts w:ascii="Verdana" w:hAnsi="Verdana"/>
          <w:sz w:val="36"/>
          <w:szCs w:val="36"/>
        </w:rPr>
      </w:pPr>
    </w:p>
    <w:p w:rsidR="00577AC4" w:rsidRPr="0033097C" w:rsidRDefault="00577AC4" w:rsidP="0033097C">
      <w:pPr>
        <w:jc w:val="both"/>
        <w:rPr>
          <w:rFonts w:ascii="Verdana" w:hAnsi="Verdana"/>
          <w:b/>
          <w:sz w:val="36"/>
          <w:szCs w:val="36"/>
        </w:rPr>
      </w:pPr>
      <w:r w:rsidRPr="0033097C">
        <w:rPr>
          <w:rFonts w:ascii="Verdana" w:hAnsi="Verdana"/>
          <w:b/>
          <w:sz w:val="36"/>
          <w:szCs w:val="36"/>
        </w:rPr>
        <w:t xml:space="preserve">SALDI, SI PARTE: AL VIA IL 5 GENNAIO IN                                                    </w:t>
      </w:r>
      <w:r w:rsidRPr="0033097C">
        <w:rPr>
          <w:rFonts w:ascii="Verdana" w:hAnsi="Verdana"/>
          <w:b/>
          <w:sz w:val="36"/>
          <w:szCs w:val="36"/>
        </w:rPr>
        <w:tab/>
      </w:r>
      <w:r w:rsidRPr="0033097C">
        <w:rPr>
          <w:rFonts w:ascii="Verdana" w:hAnsi="Verdana"/>
          <w:b/>
          <w:sz w:val="36"/>
          <w:szCs w:val="36"/>
        </w:rPr>
        <w:tab/>
        <w:t xml:space="preserve">   TUTTA L’EMILIA ROMAGNA </w:t>
      </w:r>
    </w:p>
    <w:p w:rsidR="00577AC4" w:rsidRDefault="00577AC4" w:rsidP="0033097C">
      <w:pPr>
        <w:jc w:val="both"/>
        <w:rPr>
          <w:rFonts w:ascii="Verdana" w:hAnsi="Verdana"/>
        </w:rPr>
      </w:pPr>
    </w:p>
    <w:p w:rsidR="0033097C" w:rsidRPr="0044738B" w:rsidRDefault="0033097C" w:rsidP="0033097C">
      <w:pPr>
        <w:autoSpaceDE w:val="0"/>
        <w:autoSpaceDN w:val="0"/>
        <w:adjustRightInd w:val="0"/>
        <w:spacing w:before="240"/>
        <w:jc w:val="center"/>
        <w:rPr>
          <w:rFonts w:ascii="Verdana" w:hAnsi="Verdana" w:cs="Verdana,Bold"/>
          <w:b/>
          <w:bCs/>
          <w:sz w:val="28"/>
          <w:szCs w:val="28"/>
        </w:rPr>
      </w:pPr>
      <w:r w:rsidRPr="0044738B">
        <w:rPr>
          <w:rFonts w:ascii="Verdana" w:hAnsi="Verdana" w:cs="Verdana,Bold"/>
          <w:b/>
          <w:bCs/>
          <w:sz w:val="28"/>
          <w:szCs w:val="28"/>
        </w:rPr>
        <w:t>Confcommercio: attesa tra i</w:t>
      </w:r>
      <w:r>
        <w:rPr>
          <w:rFonts w:ascii="Verdana" w:hAnsi="Verdana" w:cs="Verdana,Bold"/>
          <w:b/>
          <w:bCs/>
          <w:sz w:val="28"/>
          <w:szCs w:val="28"/>
        </w:rPr>
        <w:t xml:space="preserve"> negozianti e buone aspettative </w:t>
      </w:r>
      <w:r w:rsidRPr="0044738B">
        <w:rPr>
          <w:rFonts w:ascii="Verdana" w:hAnsi="Verdana" w:cs="Verdana,Bold"/>
          <w:b/>
          <w:bCs/>
          <w:sz w:val="28"/>
          <w:szCs w:val="28"/>
        </w:rPr>
        <w:t>per queste vendite di fine stagione</w:t>
      </w:r>
    </w:p>
    <w:p w:rsidR="0033097C" w:rsidRPr="0033097C" w:rsidRDefault="0033097C" w:rsidP="0033097C">
      <w:pPr>
        <w:jc w:val="both"/>
        <w:rPr>
          <w:rFonts w:ascii="Verdana" w:hAnsi="Verdana"/>
        </w:rPr>
      </w:pPr>
    </w:p>
    <w:p w:rsidR="00577AC4" w:rsidRPr="0033097C" w:rsidRDefault="00577AC4" w:rsidP="0033097C">
      <w:pPr>
        <w:jc w:val="both"/>
        <w:rPr>
          <w:rFonts w:ascii="Verdana" w:hAnsi="Verdana"/>
        </w:rPr>
      </w:pPr>
    </w:p>
    <w:p w:rsidR="00577AC4" w:rsidRPr="0033097C" w:rsidRDefault="00577AC4" w:rsidP="0033097C">
      <w:pPr>
        <w:jc w:val="both"/>
        <w:rPr>
          <w:rFonts w:ascii="Verdana" w:hAnsi="Verdana"/>
        </w:rPr>
      </w:pPr>
      <w:r w:rsidRPr="0033097C">
        <w:rPr>
          <w:rFonts w:ascii="Verdana" w:hAnsi="Verdana"/>
        </w:rPr>
        <w:t xml:space="preserve">Interessano a livello nazionale 15,6 milioni di famiglie, muovono in totale 5,2 miliardi di euro, con un budget di spesa a persona di 143 euro: questi secondo l’Ufficio Studi Confcommercio i numeri dei saldi invernali, che partiranno oggi venerdì 5 gennaio anche in Emilia Romagna, giorno immediatamente precedente l’Epifania, così da avere a disposizione tutto il primo week end di gennaio da dedicare allo shopping conveniente. </w:t>
      </w:r>
    </w:p>
    <w:p w:rsidR="00577AC4" w:rsidRPr="0033097C" w:rsidRDefault="00577AC4" w:rsidP="0033097C">
      <w:pPr>
        <w:jc w:val="both"/>
        <w:rPr>
          <w:rFonts w:ascii="Verdana" w:hAnsi="Verdana"/>
        </w:rPr>
      </w:pPr>
      <w:r w:rsidRPr="0033097C">
        <w:rPr>
          <w:rFonts w:ascii="Verdana" w:hAnsi="Verdana"/>
        </w:rPr>
        <w:t xml:space="preserve">“Da parte dei nostri commercianti c’è grande attesa per queste vendite di fine stagione – </w:t>
      </w:r>
      <w:r w:rsidRPr="0033097C">
        <w:rPr>
          <w:rFonts w:ascii="Verdana" w:hAnsi="Verdana"/>
          <w:b/>
        </w:rPr>
        <w:t xml:space="preserve">dichiara </w:t>
      </w:r>
      <w:proofErr w:type="spellStart"/>
      <w:r w:rsidRPr="0033097C">
        <w:rPr>
          <w:rFonts w:ascii="Verdana" w:hAnsi="Verdana"/>
          <w:b/>
        </w:rPr>
        <w:t>GianLuca</w:t>
      </w:r>
      <w:proofErr w:type="spellEnd"/>
      <w:r w:rsidRPr="0033097C">
        <w:rPr>
          <w:rFonts w:ascii="Verdana" w:hAnsi="Verdana"/>
          <w:b/>
        </w:rPr>
        <w:t xml:space="preserve"> </w:t>
      </w:r>
      <w:proofErr w:type="spellStart"/>
      <w:r w:rsidRPr="0033097C">
        <w:rPr>
          <w:rFonts w:ascii="Verdana" w:hAnsi="Verdana"/>
          <w:b/>
        </w:rPr>
        <w:t>Brugnoli</w:t>
      </w:r>
      <w:proofErr w:type="spellEnd"/>
      <w:r w:rsidRPr="0033097C">
        <w:rPr>
          <w:rFonts w:ascii="Verdana" w:hAnsi="Verdana"/>
          <w:b/>
        </w:rPr>
        <w:t xml:space="preserve">, Presidente </w:t>
      </w:r>
      <w:proofErr w:type="spellStart"/>
      <w:r w:rsidRPr="0033097C">
        <w:rPr>
          <w:rFonts w:ascii="Verdana" w:hAnsi="Verdana"/>
          <w:b/>
        </w:rPr>
        <w:t>Federmoda</w:t>
      </w:r>
      <w:proofErr w:type="spellEnd"/>
      <w:r w:rsidRPr="0033097C">
        <w:rPr>
          <w:rFonts w:ascii="Verdana" w:hAnsi="Verdana"/>
          <w:b/>
        </w:rPr>
        <w:t xml:space="preserve"> Piacenza</w:t>
      </w:r>
      <w:r w:rsidRPr="0033097C">
        <w:rPr>
          <w:rFonts w:ascii="Verdana" w:hAnsi="Verdana"/>
        </w:rPr>
        <w:t xml:space="preserve"> riprendendo quanto dichiarato da Marco Cremonini, Presidente di </w:t>
      </w:r>
      <w:proofErr w:type="spellStart"/>
      <w:r w:rsidRPr="0033097C">
        <w:rPr>
          <w:rFonts w:ascii="Verdana" w:hAnsi="Verdana"/>
        </w:rPr>
        <w:t>Federmoda</w:t>
      </w:r>
      <w:proofErr w:type="spellEnd"/>
      <w:r w:rsidRPr="0033097C">
        <w:rPr>
          <w:rFonts w:ascii="Verdana" w:hAnsi="Verdana"/>
        </w:rPr>
        <w:t xml:space="preserve"> Confcommercio Emilia Romagna. Dopo una partenza lenta, il mese di dicembre ha visto una lieve ripresa delle vendite e ci sono buone aspettative che questi saldi, grazie al ritorno alla fiducia da parte delle famiglie, possano favorire una ripresa degli acquisti anche per quanto riguarda i capi più importanti, come giubbotti e giacconi, solitamente rimandati a questo periodo dell’anno”.</w:t>
      </w:r>
    </w:p>
    <w:p w:rsidR="00577AC4" w:rsidRPr="0033097C" w:rsidRDefault="00577AC4" w:rsidP="0033097C">
      <w:pPr>
        <w:jc w:val="both"/>
        <w:rPr>
          <w:rFonts w:ascii="Verdana" w:hAnsi="Verdana"/>
        </w:rPr>
      </w:pPr>
      <w:r w:rsidRPr="0033097C">
        <w:rPr>
          <w:rFonts w:ascii="Verdana" w:hAnsi="Verdana"/>
        </w:rPr>
        <w:t xml:space="preserve">Secondo le stime dell'Ufficio Studi di </w:t>
      </w:r>
      <w:r w:rsidRPr="0033097C">
        <w:rPr>
          <w:rFonts w:ascii="Verdana" w:hAnsi="Verdana"/>
          <w:b/>
        </w:rPr>
        <w:t xml:space="preserve">Confcommercio ogni famiglia, in occasione dei saldi invernali 2018, spenderà 331 euro </w:t>
      </w:r>
      <w:r w:rsidRPr="0033097C">
        <w:rPr>
          <w:rFonts w:ascii="Verdana" w:hAnsi="Verdana"/>
        </w:rPr>
        <w:t>per l'acquisto di capi d'abbigliamento, calzature ed accessori, leggermente meno dello scorso anno, ma comunque in linea con il momento.</w:t>
      </w:r>
    </w:p>
    <w:p w:rsidR="00577AC4" w:rsidRPr="0033097C" w:rsidRDefault="00577AC4" w:rsidP="0033097C">
      <w:pPr>
        <w:jc w:val="both"/>
        <w:rPr>
          <w:rFonts w:ascii="Verdana" w:hAnsi="Verdana"/>
        </w:rPr>
      </w:pPr>
      <w:r w:rsidRPr="0033097C">
        <w:rPr>
          <w:rFonts w:ascii="Verdana" w:hAnsi="Verdana"/>
        </w:rPr>
        <w:t xml:space="preserve">“I saldi – aggiunge il Presidente – continuano a rappresentare un momento importante in termini di fatturato per le imprese del commercio al dettaglio, oltre che una valida opportunità per i consumatori di effettuare acquisti di qualità a prezzi convenienti, approfittando dell’assortimento, del servizio e dell’affidabilità dei negozi di moda e tessili tradizionali”. </w:t>
      </w:r>
    </w:p>
    <w:p w:rsidR="00577AC4" w:rsidRPr="0033097C" w:rsidRDefault="00577AC4" w:rsidP="0033097C">
      <w:pPr>
        <w:jc w:val="both"/>
        <w:rPr>
          <w:rFonts w:ascii="Verdana" w:hAnsi="Verdana"/>
        </w:rPr>
      </w:pPr>
      <w:r w:rsidRPr="0033097C">
        <w:rPr>
          <w:rFonts w:ascii="Verdana" w:hAnsi="Verdana"/>
        </w:rPr>
        <w:t xml:space="preserve">“Voglio ringraziare – Prosegue il Presidente </w:t>
      </w:r>
      <w:proofErr w:type="spellStart"/>
      <w:r w:rsidRPr="0033097C">
        <w:rPr>
          <w:rFonts w:ascii="Verdana" w:hAnsi="Verdana"/>
        </w:rPr>
        <w:t>Brugnoli</w:t>
      </w:r>
      <w:proofErr w:type="spellEnd"/>
      <w:r w:rsidRPr="0033097C">
        <w:rPr>
          <w:rFonts w:ascii="Verdana" w:hAnsi="Verdana"/>
        </w:rPr>
        <w:t xml:space="preserve"> – l’Amministrazione Comunale ed in particolare </w:t>
      </w:r>
      <w:proofErr w:type="spellStart"/>
      <w:r w:rsidRPr="0033097C">
        <w:rPr>
          <w:rFonts w:ascii="Verdana" w:hAnsi="Verdana"/>
        </w:rPr>
        <w:t>l’Ass</w:t>
      </w:r>
      <w:proofErr w:type="spellEnd"/>
      <w:r w:rsidRPr="0033097C">
        <w:rPr>
          <w:rFonts w:ascii="Verdana" w:hAnsi="Verdana"/>
        </w:rPr>
        <w:t xml:space="preserve">. </w:t>
      </w:r>
      <w:proofErr w:type="spellStart"/>
      <w:r w:rsidRPr="0033097C">
        <w:rPr>
          <w:rFonts w:ascii="Verdana" w:hAnsi="Verdana"/>
        </w:rPr>
        <w:t>Mancioppi</w:t>
      </w:r>
      <w:proofErr w:type="spellEnd"/>
      <w:r w:rsidRPr="0033097C">
        <w:rPr>
          <w:rFonts w:ascii="Verdana" w:hAnsi="Verdana"/>
        </w:rPr>
        <w:t xml:space="preserve"> per aver recepito la nostra richiesta di posticipare la Domenica Ecologica al 14 Gennaio permettendo così ai nostri clienti di poter giungere facilmente anche in centro a Piacenza, consentendo così di poter far convivere entrambe le nostre esigenze: un’attenzione alla nostra salute e la possibilità di non perdere una buona occasione da parte nostra di sostenere le vendite”. </w:t>
      </w:r>
      <w:proofErr w:type="spellStart"/>
      <w:r w:rsidRPr="0033097C">
        <w:rPr>
          <w:rFonts w:ascii="Verdana" w:hAnsi="Verdana"/>
        </w:rPr>
        <w:t>Federmoda</w:t>
      </w:r>
      <w:proofErr w:type="spellEnd"/>
      <w:r w:rsidRPr="0033097C">
        <w:rPr>
          <w:rFonts w:ascii="Verdana" w:hAnsi="Verdana"/>
        </w:rPr>
        <w:t xml:space="preserve"> </w:t>
      </w:r>
      <w:r w:rsidRPr="0033097C">
        <w:rPr>
          <w:rFonts w:ascii="Verdana" w:hAnsi="Verdana"/>
        </w:rPr>
        <w:lastRenderedPageBreak/>
        <w:t>Confcommercio dell’Emilia Romagna esprime inoltre apprezzamento per il recepimento, all’interno della Legge di stabilità regionale recentemente approvata, della regolamentazione sul divieto di vendite promoz</w:t>
      </w:r>
      <w:r w:rsidR="00E738EA">
        <w:rPr>
          <w:rFonts w:ascii="Verdana" w:hAnsi="Verdana"/>
        </w:rPr>
        <w:t xml:space="preserve">ionali nei trenta giorni prima </w:t>
      </w:r>
      <w:r w:rsidRPr="0033097C">
        <w:rPr>
          <w:rFonts w:ascii="Verdana" w:hAnsi="Verdana"/>
        </w:rPr>
        <w:t>dell’avvio dei saldi, con cui l’Emilia Romagna si allinea al resto delle regioni italiane per quanto riguarda la normativa in materia.</w:t>
      </w:r>
    </w:p>
    <w:p w:rsidR="00577AC4" w:rsidRPr="0033097C" w:rsidRDefault="00577AC4" w:rsidP="0033097C">
      <w:pPr>
        <w:jc w:val="both"/>
        <w:rPr>
          <w:rFonts w:ascii="Verdana" w:hAnsi="Verdana"/>
        </w:rPr>
      </w:pPr>
    </w:p>
    <w:p w:rsidR="0033097C" w:rsidRDefault="00577AC4" w:rsidP="0033097C">
      <w:pPr>
        <w:jc w:val="both"/>
        <w:rPr>
          <w:rFonts w:ascii="Verdana" w:hAnsi="Verdana"/>
          <w:b/>
        </w:rPr>
      </w:pPr>
      <w:bookmarkStart w:id="0" w:name="_GoBack"/>
      <w:r w:rsidRPr="0033097C">
        <w:rPr>
          <w:rFonts w:ascii="Verdana" w:hAnsi="Verdana"/>
          <w:b/>
        </w:rPr>
        <w:t>Per il corretto acquisto degli articoli in saldo, Confcommercio ricorda alcuni principi di base:</w:t>
      </w:r>
    </w:p>
    <w:p w:rsidR="0033097C" w:rsidRDefault="0033097C" w:rsidP="0033097C">
      <w:pPr>
        <w:jc w:val="both"/>
        <w:rPr>
          <w:rFonts w:ascii="Verdana" w:hAnsi="Verdana"/>
          <w:b/>
        </w:rPr>
      </w:pPr>
    </w:p>
    <w:p w:rsidR="00577AC4" w:rsidRPr="0033097C" w:rsidRDefault="00577AC4" w:rsidP="0033097C">
      <w:pPr>
        <w:jc w:val="both"/>
        <w:rPr>
          <w:rFonts w:ascii="Verdana" w:hAnsi="Verdana"/>
          <w:b/>
        </w:rPr>
      </w:pPr>
      <w:r w:rsidRPr="0033097C">
        <w:rPr>
          <w:rFonts w:ascii="Verdana" w:hAnsi="Verdana"/>
          <w:b/>
        </w:rPr>
        <w:t>1. Cambi:</w:t>
      </w:r>
      <w:r w:rsidRPr="0033097C">
        <w:rPr>
          <w:rFonts w:ascii="Verdana" w:hAnsi="Verdana"/>
        </w:rPr>
        <w:t xml:space="preserve"> la possibilità di cambiare il capo dopo che lo si è acquistato è generalmente lasciata alla discrezionalità del negoziante, a meno che il prodotto non sia danneggiato o non conforme (art. 1519 ter cod. civile introdotto da </w:t>
      </w:r>
      <w:proofErr w:type="spellStart"/>
      <w:r w:rsidRPr="0033097C">
        <w:rPr>
          <w:rFonts w:ascii="Verdana" w:hAnsi="Verdana"/>
        </w:rPr>
        <w:t>D.L.vo</w:t>
      </w:r>
      <w:proofErr w:type="spellEnd"/>
      <w:r w:rsidRPr="0033097C">
        <w:rPr>
          <w:rFonts w:ascii="Verdana" w:hAnsi="Verdana"/>
        </w:rPr>
        <w:t xml:space="preserve"> n. 24/2002). In questo caso scatta l'obbligo per il negoziante della riparazione o della sostituzione del capo e, nel caso ciò risulti impossibile, la riduzione o la restituzione del prezzo pagato. Il compratore è però tenuto a denunciare il vizio del capo entro due mesi dalla data della scoperta del difetto.</w:t>
      </w:r>
    </w:p>
    <w:p w:rsidR="00577AC4" w:rsidRPr="0033097C" w:rsidRDefault="00577AC4" w:rsidP="0033097C">
      <w:pPr>
        <w:jc w:val="both"/>
        <w:rPr>
          <w:rFonts w:ascii="Verdana" w:hAnsi="Verdana"/>
        </w:rPr>
      </w:pPr>
      <w:r w:rsidRPr="0033097C">
        <w:rPr>
          <w:rFonts w:ascii="Verdana" w:hAnsi="Verdana"/>
          <w:b/>
        </w:rPr>
        <w:t>2. Prova dei capi:</w:t>
      </w:r>
      <w:r w:rsidRPr="0033097C">
        <w:rPr>
          <w:rFonts w:ascii="Verdana" w:hAnsi="Verdana"/>
        </w:rPr>
        <w:t xml:space="preserve"> non c'è obbligo. E' rimesso alla discrezionalità del negoziante.</w:t>
      </w:r>
    </w:p>
    <w:p w:rsidR="00577AC4" w:rsidRPr="0033097C" w:rsidRDefault="00577AC4" w:rsidP="0033097C">
      <w:pPr>
        <w:jc w:val="both"/>
        <w:rPr>
          <w:rFonts w:ascii="Verdana" w:hAnsi="Verdana"/>
        </w:rPr>
      </w:pPr>
      <w:r w:rsidRPr="0033097C">
        <w:rPr>
          <w:rFonts w:ascii="Verdana" w:hAnsi="Verdana"/>
          <w:b/>
        </w:rPr>
        <w:t>3. Pagamenti:</w:t>
      </w:r>
      <w:r w:rsidRPr="0033097C">
        <w:rPr>
          <w:rFonts w:ascii="Verdana" w:hAnsi="Verdana"/>
        </w:rPr>
        <w:t xml:space="preserve"> le carte di credito devono essere accettate da parte del negoziante qualora sia esposto nel punto vendita l'adesivo che attesta la relativa convenzione.</w:t>
      </w:r>
    </w:p>
    <w:p w:rsidR="00577AC4" w:rsidRPr="0033097C" w:rsidRDefault="00577AC4" w:rsidP="0033097C">
      <w:pPr>
        <w:jc w:val="both"/>
        <w:rPr>
          <w:rFonts w:ascii="Verdana" w:hAnsi="Verdana"/>
        </w:rPr>
      </w:pPr>
      <w:r w:rsidRPr="0033097C">
        <w:rPr>
          <w:rFonts w:ascii="Verdana" w:hAnsi="Verdana"/>
          <w:b/>
        </w:rPr>
        <w:t>4. Prodotti in vendita:</w:t>
      </w:r>
      <w:r w:rsidRPr="0033097C">
        <w:rPr>
          <w:rFonts w:ascii="Verdana" w:hAnsi="Verdana"/>
        </w:rPr>
        <w:t xml:space="preserve"> i capi che vengono proposti in saldo devono avere carattere stagionale o di moda ed essere suscettibili di notevole deprezzamento se non venduti entro un certo periodo di tempo. Tuttavia nulla vieta di porre in vendita anche capi appartenenti non alla stagione in corso.</w:t>
      </w:r>
    </w:p>
    <w:p w:rsidR="00577AC4" w:rsidRPr="0033097C" w:rsidRDefault="00577AC4" w:rsidP="0033097C">
      <w:pPr>
        <w:jc w:val="both"/>
        <w:rPr>
          <w:rFonts w:ascii="Verdana" w:hAnsi="Verdana"/>
        </w:rPr>
      </w:pPr>
      <w:r w:rsidRPr="0033097C">
        <w:rPr>
          <w:rFonts w:ascii="Verdana" w:hAnsi="Verdana"/>
          <w:b/>
        </w:rPr>
        <w:t>5. Indicazione del prezzo:</w:t>
      </w:r>
      <w:r w:rsidRPr="0033097C">
        <w:rPr>
          <w:rFonts w:ascii="Verdana" w:hAnsi="Verdana"/>
        </w:rPr>
        <w:t xml:space="preserve"> obbligo del negoziante di indicare il prezzo normale di vendita, lo sconto e il prezzo finale.</w:t>
      </w:r>
    </w:p>
    <w:bookmarkEnd w:id="0"/>
    <w:p w:rsidR="00E738EA" w:rsidRDefault="00E738EA" w:rsidP="0033097C">
      <w:pPr>
        <w:jc w:val="both"/>
        <w:rPr>
          <w:rFonts w:ascii="Verdana" w:hAnsi="Verdana"/>
        </w:rPr>
      </w:pPr>
    </w:p>
    <w:p w:rsidR="00FA563D" w:rsidRDefault="00FA563D" w:rsidP="0033097C">
      <w:pPr>
        <w:jc w:val="both"/>
        <w:rPr>
          <w:rFonts w:ascii="Verdana" w:hAnsi="Verdana"/>
          <w:b/>
          <w:sz w:val="18"/>
          <w:szCs w:val="18"/>
        </w:rPr>
      </w:pPr>
    </w:p>
    <w:p w:rsidR="00FA563D" w:rsidRDefault="00FA563D" w:rsidP="0033097C">
      <w:pPr>
        <w:jc w:val="both"/>
        <w:rPr>
          <w:rFonts w:ascii="Verdana" w:hAnsi="Verdana"/>
          <w:i/>
          <w:sz w:val="18"/>
          <w:szCs w:val="18"/>
        </w:rPr>
      </w:pPr>
    </w:p>
    <w:tbl>
      <w:tblPr>
        <w:tblW w:w="9015" w:type="dxa"/>
        <w:shd w:val="clear" w:color="auto" w:fill="FFFFFF"/>
        <w:tblCellMar>
          <w:left w:w="0" w:type="dxa"/>
          <w:right w:w="0" w:type="dxa"/>
        </w:tblCellMar>
        <w:tblLook w:val="04A0" w:firstRow="1" w:lastRow="0" w:firstColumn="1" w:lastColumn="0" w:noHBand="0" w:noVBand="1"/>
      </w:tblPr>
      <w:tblGrid>
        <w:gridCol w:w="8160"/>
        <w:gridCol w:w="855"/>
      </w:tblGrid>
      <w:tr w:rsidR="00FA563D" w:rsidRPr="0044738B" w:rsidTr="00B53FB3">
        <w:trPr>
          <w:trHeight w:val="300"/>
        </w:trPr>
        <w:tc>
          <w:tcPr>
            <w:tcW w:w="8160" w:type="dxa"/>
            <w:tcBorders>
              <w:right w:val="single" w:sz="6" w:space="0" w:color="E8E8E8"/>
            </w:tcBorders>
            <w:shd w:val="clear" w:color="auto" w:fill="E8E8E8"/>
            <w:noWrap/>
            <w:tcMar>
              <w:top w:w="45" w:type="dxa"/>
              <w:left w:w="45" w:type="dxa"/>
              <w:bottom w:w="45" w:type="dxa"/>
              <w:right w:w="45" w:type="dxa"/>
            </w:tcMar>
            <w:vAlign w:val="center"/>
            <w:hideMark/>
          </w:tcPr>
          <w:p w:rsidR="00FA563D" w:rsidRPr="0044738B" w:rsidRDefault="00FA563D" w:rsidP="00B53FB3">
            <w:pPr>
              <w:textAlignment w:val="center"/>
              <w:rPr>
                <w:rFonts w:ascii="Verdana" w:hAnsi="Verdana"/>
                <w:sz w:val="18"/>
                <w:szCs w:val="20"/>
              </w:rPr>
            </w:pPr>
            <w:r w:rsidRPr="0044738B">
              <w:rPr>
                <w:rFonts w:ascii="Verdana" w:hAnsi="Verdana"/>
                <w:sz w:val="18"/>
                <w:szCs w:val="20"/>
              </w:rPr>
              <w:t> </w:t>
            </w:r>
          </w:p>
          <w:p w:rsidR="00FA563D" w:rsidRPr="0044738B" w:rsidRDefault="00FA563D" w:rsidP="00B53FB3">
            <w:pPr>
              <w:textAlignment w:val="center"/>
              <w:rPr>
                <w:rFonts w:ascii="Verdana" w:hAnsi="Verdana"/>
                <w:sz w:val="18"/>
                <w:szCs w:val="20"/>
              </w:rPr>
            </w:pPr>
            <w:r w:rsidRPr="0044738B">
              <w:rPr>
                <w:rFonts w:ascii="Verdana" w:hAnsi="Verdana"/>
                <w:b/>
                <w:bCs/>
                <w:sz w:val="18"/>
                <w:szCs w:val="20"/>
              </w:rPr>
              <w:t>STIMA DEI SALDI INVERNALI 2018</w:t>
            </w:r>
          </w:p>
        </w:tc>
        <w:tc>
          <w:tcPr>
            <w:tcW w:w="855" w:type="dxa"/>
            <w:tcBorders>
              <w:right w:val="nil"/>
            </w:tcBorders>
            <w:shd w:val="clear" w:color="auto" w:fill="E8E8E8"/>
            <w:noWrap/>
            <w:tcMar>
              <w:top w:w="45" w:type="dxa"/>
              <w:left w:w="45" w:type="dxa"/>
              <w:bottom w:w="45" w:type="dxa"/>
              <w:right w:w="45" w:type="dxa"/>
            </w:tcMar>
            <w:vAlign w:val="center"/>
            <w:hideMark/>
          </w:tcPr>
          <w:p w:rsidR="00FA563D" w:rsidRPr="0044738B" w:rsidRDefault="00FA563D" w:rsidP="00B53FB3">
            <w:pPr>
              <w:jc w:val="center"/>
              <w:textAlignment w:val="center"/>
              <w:rPr>
                <w:rFonts w:ascii="Verdana" w:hAnsi="Verdana"/>
                <w:sz w:val="18"/>
                <w:szCs w:val="20"/>
              </w:rPr>
            </w:pPr>
            <w:r w:rsidRPr="0044738B">
              <w:rPr>
                <w:rFonts w:ascii="Verdana" w:hAnsi="Verdana"/>
                <w:sz w:val="18"/>
                <w:szCs w:val="20"/>
              </w:rPr>
              <w:t> </w:t>
            </w:r>
          </w:p>
        </w:tc>
      </w:tr>
      <w:tr w:rsidR="00FA563D" w:rsidRPr="0044738B" w:rsidTr="00B53FB3">
        <w:trPr>
          <w:trHeight w:val="300"/>
        </w:trPr>
        <w:tc>
          <w:tcPr>
            <w:tcW w:w="8160" w:type="dxa"/>
            <w:tcBorders>
              <w:right w:val="single" w:sz="6" w:space="0" w:color="E8E8E8"/>
            </w:tcBorders>
            <w:shd w:val="clear" w:color="auto" w:fill="FFFFFF"/>
            <w:noWrap/>
            <w:tcMar>
              <w:top w:w="45" w:type="dxa"/>
              <w:left w:w="45" w:type="dxa"/>
              <w:bottom w:w="45" w:type="dxa"/>
              <w:right w:w="45" w:type="dxa"/>
            </w:tcMar>
            <w:vAlign w:val="center"/>
            <w:hideMark/>
          </w:tcPr>
          <w:p w:rsidR="00FA563D" w:rsidRPr="0044738B" w:rsidRDefault="00FA563D" w:rsidP="00B53FB3">
            <w:pPr>
              <w:textAlignment w:val="center"/>
              <w:rPr>
                <w:rFonts w:ascii="Verdana" w:hAnsi="Verdana"/>
                <w:sz w:val="18"/>
                <w:szCs w:val="20"/>
              </w:rPr>
            </w:pPr>
            <w:r w:rsidRPr="0044738B">
              <w:rPr>
                <w:rFonts w:ascii="Verdana" w:hAnsi="Verdana"/>
                <w:sz w:val="18"/>
                <w:szCs w:val="20"/>
              </w:rPr>
              <w:t>VALORE SALDI INVERNALI (miliardi di euro)</w:t>
            </w:r>
          </w:p>
        </w:tc>
        <w:tc>
          <w:tcPr>
            <w:tcW w:w="855" w:type="dxa"/>
            <w:tcBorders>
              <w:right w:val="nil"/>
            </w:tcBorders>
            <w:shd w:val="clear" w:color="auto" w:fill="FFFFFF"/>
            <w:noWrap/>
            <w:tcMar>
              <w:top w:w="45" w:type="dxa"/>
              <w:left w:w="45" w:type="dxa"/>
              <w:bottom w:w="45" w:type="dxa"/>
              <w:right w:w="45" w:type="dxa"/>
            </w:tcMar>
            <w:vAlign w:val="center"/>
            <w:hideMark/>
          </w:tcPr>
          <w:p w:rsidR="00FA563D" w:rsidRPr="0044738B" w:rsidRDefault="00FA563D" w:rsidP="00B53FB3">
            <w:pPr>
              <w:jc w:val="center"/>
              <w:textAlignment w:val="center"/>
              <w:rPr>
                <w:rFonts w:ascii="Verdana" w:hAnsi="Verdana"/>
                <w:sz w:val="18"/>
                <w:szCs w:val="20"/>
              </w:rPr>
            </w:pPr>
            <w:r w:rsidRPr="0044738B">
              <w:rPr>
                <w:rFonts w:ascii="Verdana" w:hAnsi="Verdana"/>
                <w:sz w:val="18"/>
                <w:szCs w:val="20"/>
              </w:rPr>
              <w:t>5,2</w:t>
            </w:r>
          </w:p>
        </w:tc>
      </w:tr>
      <w:tr w:rsidR="00FA563D" w:rsidRPr="0044738B" w:rsidTr="00B53FB3">
        <w:trPr>
          <w:trHeight w:val="300"/>
        </w:trPr>
        <w:tc>
          <w:tcPr>
            <w:tcW w:w="8160" w:type="dxa"/>
            <w:tcBorders>
              <w:right w:val="single" w:sz="6" w:space="0" w:color="E8E8E8"/>
            </w:tcBorders>
            <w:shd w:val="clear" w:color="auto" w:fill="F8F8F8"/>
            <w:noWrap/>
            <w:tcMar>
              <w:top w:w="45" w:type="dxa"/>
              <w:left w:w="45" w:type="dxa"/>
              <w:bottom w:w="45" w:type="dxa"/>
              <w:right w:w="45" w:type="dxa"/>
            </w:tcMar>
            <w:vAlign w:val="center"/>
            <w:hideMark/>
          </w:tcPr>
          <w:p w:rsidR="00FA563D" w:rsidRPr="0044738B" w:rsidRDefault="00FA563D" w:rsidP="00B53FB3">
            <w:pPr>
              <w:textAlignment w:val="center"/>
              <w:rPr>
                <w:rFonts w:ascii="Verdana" w:hAnsi="Verdana"/>
                <w:sz w:val="18"/>
                <w:szCs w:val="20"/>
              </w:rPr>
            </w:pPr>
            <w:r w:rsidRPr="0044738B">
              <w:rPr>
                <w:rFonts w:ascii="Verdana" w:hAnsi="Verdana"/>
                <w:sz w:val="18"/>
                <w:szCs w:val="20"/>
              </w:rPr>
              <w:t>NUMERO FAMIGLIE ITALIANE (milioni)</w:t>
            </w:r>
          </w:p>
        </w:tc>
        <w:tc>
          <w:tcPr>
            <w:tcW w:w="855" w:type="dxa"/>
            <w:tcBorders>
              <w:right w:val="nil"/>
            </w:tcBorders>
            <w:shd w:val="clear" w:color="auto" w:fill="F8F8F8"/>
            <w:noWrap/>
            <w:tcMar>
              <w:top w:w="45" w:type="dxa"/>
              <w:left w:w="45" w:type="dxa"/>
              <w:bottom w:w="45" w:type="dxa"/>
              <w:right w:w="45" w:type="dxa"/>
            </w:tcMar>
            <w:vAlign w:val="center"/>
            <w:hideMark/>
          </w:tcPr>
          <w:p w:rsidR="00FA563D" w:rsidRPr="0044738B" w:rsidRDefault="00FA563D" w:rsidP="00B53FB3">
            <w:pPr>
              <w:jc w:val="center"/>
              <w:textAlignment w:val="center"/>
              <w:rPr>
                <w:rFonts w:ascii="Verdana" w:hAnsi="Verdana"/>
                <w:sz w:val="18"/>
                <w:szCs w:val="20"/>
              </w:rPr>
            </w:pPr>
            <w:r w:rsidRPr="0044738B">
              <w:rPr>
                <w:rFonts w:ascii="Verdana" w:hAnsi="Verdana"/>
                <w:sz w:val="18"/>
                <w:szCs w:val="20"/>
              </w:rPr>
              <w:t>25,9</w:t>
            </w:r>
          </w:p>
        </w:tc>
      </w:tr>
      <w:tr w:rsidR="00FA563D" w:rsidRPr="0044738B" w:rsidTr="00B53FB3">
        <w:trPr>
          <w:trHeight w:val="300"/>
        </w:trPr>
        <w:tc>
          <w:tcPr>
            <w:tcW w:w="8160" w:type="dxa"/>
            <w:tcBorders>
              <w:right w:val="single" w:sz="6" w:space="0" w:color="E8E8E8"/>
            </w:tcBorders>
            <w:shd w:val="clear" w:color="auto" w:fill="FFFFFF"/>
            <w:noWrap/>
            <w:tcMar>
              <w:top w:w="45" w:type="dxa"/>
              <w:left w:w="45" w:type="dxa"/>
              <w:bottom w:w="45" w:type="dxa"/>
              <w:right w:w="45" w:type="dxa"/>
            </w:tcMar>
            <w:vAlign w:val="center"/>
            <w:hideMark/>
          </w:tcPr>
          <w:p w:rsidR="00FA563D" w:rsidRPr="0044738B" w:rsidRDefault="00FA563D" w:rsidP="00B53FB3">
            <w:pPr>
              <w:textAlignment w:val="center"/>
              <w:rPr>
                <w:rFonts w:ascii="Verdana" w:hAnsi="Verdana"/>
                <w:sz w:val="18"/>
                <w:szCs w:val="20"/>
              </w:rPr>
            </w:pPr>
            <w:r w:rsidRPr="0044738B">
              <w:rPr>
                <w:rFonts w:ascii="Verdana" w:hAnsi="Verdana"/>
                <w:sz w:val="18"/>
                <w:szCs w:val="20"/>
              </w:rPr>
              <w:t>NUMERO FAMIGLIE CHE ACQUISTA IN SALDO (milioni)</w:t>
            </w:r>
          </w:p>
        </w:tc>
        <w:tc>
          <w:tcPr>
            <w:tcW w:w="855" w:type="dxa"/>
            <w:tcBorders>
              <w:right w:val="nil"/>
            </w:tcBorders>
            <w:shd w:val="clear" w:color="auto" w:fill="FFFFFF"/>
            <w:noWrap/>
            <w:tcMar>
              <w:top w:w="45" w:type="dxa"/>
              <w:left w:w="45" w:type="dxa"/>
              <w:bottom w:w="45" w:type="dxa"/>
              <w:right w:w="45" w:type="dxa"/>
            </w:tcMar>
            <w:vAlign w:val="center"/>
            <w:hideMark/>
          </w:tcPr>
          <w:p w:rsidR="00FA563D" w:rsidRPr="0044738B" w:rsidRDefault="00FA563D" w:rsidP="00B53FB3">
            <w:pPr>
              <w:jc w:val="center"/>
              <w:textAlignment w:val="center"/>
              <w:rPr>
                <w:rFonts w:ascii="Verdana" w:hAnsi="Verdana"/>
                <w:sz w:val="18"/>
                <w:szCs w:val="20"/>
              </w:rPr>
            </w:pPr>
            <w:r w:rsidRPr="0044738B">
              <w:rPr>
                <w:rFonts w:ascii="Verdana" w:hAnsi="Verdana"/>
                <w:sz w:val="18"/>
                <w:szCs w:val="20"/>
              </w:rPr>
              <w:t>15,6</w:t>
            </w:r>
          </w:p>
        </w:tc>
      </w:tr>
      <w:tr w:rsidR="00FA563D" w:rsidRPr="0044738B" w:rsidTr="00B53FB3">
        <w:trPr>
          <w:trHeight w:val="300"/>
        </w:trPr>
        <w:tc>
          <w:tcPr>
            <w:tcW w:w="8160" w:type="dxa"/>
            <w:tcBorders>
              <w:right w:val="single" w:sz="6" w:space="0" w:color="E8E8E8"/>
            </w:tcBorders>
            <w:shd w:val="clear" w:color="auto" w:fill="F8F8F8"/>
            <w:noWrap/>
            <w:tcMar>
              <w:top w:w="45" w:type="dxa"/>
              <w:left w:w="45" w:type="dxa"/>
              <w:bottom w:w="45" w:type="dxa"/>
              <w:right w:w="45" w:type="dxa"/>
            </w:tcMar>
            <w:vAlign w:val="center"/>
            <w:hideMark/>
          </w:tcPr>
          <w:p w:rsidR="00FA563D" w:rsidRPr="0044738B" w:rsidRDefault="00FA563D" w:rsidP="00B53FB3">
            <w:pPr>
              <w:textAlignment w:val="center"/>
              <w:rPr>
                <w:rFonts w:ascii="Verdana" w:hAnsi="Verdana"/>
                <w:sz w:val="18"/>
                <w:szCs w:val="20"/>
              </w:rPr>
            </w:pPr>
            <w:r w:rsidRPr="0044738B">
              <w:rPr>
                <w:rFonts w:ascii="Verdana" w:hAnsi="Verdana"/>
                <w:b/>
                <w:bCs/>
                <w:sz w:val="18"/>
                <w:szCs w:val="20"/>
              </w:rPr>
              <w:t>ACQUISTO MEDIO A FAMIGLIA PER SALDI INVERNALI (euro)</w:t>
            </w:r>
          </w:p>
        </w:tc>
        <w:tc>
          <w:tcPr>
            <w:tcW w:w="855" w:type="dxa"/>
            <w:tcBorders>
              <w:right w:val="nil"/>
            </w:tcBorders>
            <w:shd w:val="clear" w:color="auto" w:fill="F8F8F8"/>
            <w:noWrap/>
            <w:tcMar>
              <w:top w:w="45" w:type="dxa"/>
              <w:left w:w="45" w:type="dxa"/>
              <w:bottom w:w="45" w:type="dxa"/>
              <w:right w:w="45" w:type="dxa"/>
            </w:tcMar>
            <w:vAlign w:val="center"/>
            <w:hideMark/>
          </w:tcPr>
          <w:p w:rsidR="00FA563D" w:rsidRPr="0044738B" w:rsidRDefault="00FA563D" w:rsidP="00B53FB3">
            <w:pPr>
              <w:jc w:val="center"/>
              <w:textAlignment w:val="center"/>
              <w:rPr>
                <w:rFonts w:ascii="Verdana" w:hAnsi="Verdana"/>
                <w:sz w:val="18"/>
                <w:szCs w:val="20"/>
              </w:rPr>
            </w:pPr>
            <w:r w:rsidRPr="0044738B">
              <w:rPr>
                <w:rFonts w:ascii="Verdana" w:hAnsi="Verdana"/>
                <w:b/>
                <w:bCs/>
                <w:sz w:val="18"/>
                <w:szCs w:val="20"/>
              </w:rPr>
              <w:t>331</w:t>
            </w:r>
          </w:p>
        </w:tc>
      </w:tr>
      <w:tr w:rsidR="00FA563D" w:rsidRPr="0044738B" w:rsidTr="00B53FB3">
        <w:trPr>
          <w:trHeight w:val="300"/>
        </w:trPr>
        <w:tc>
          <w:tcPr>
            <w:tcW w:w="8160" w:type="dxa"/>
            <w:tcBorders>
              <w:right w:val="single" w:sz="6" w:space="0" w:color="E8E8E8"/>
            </w:tcBorders>
            <w:shd w:val="clear" w:color="auto" w:fill="FFFFFF"/>
            <w:noWrap/>
            <w:tcMar>
              <w:top w:w="45" w:type="dxa"/>
              <w:left w:w="45" w:type="dxa"/>
              <w:bottom w:w="45" w:type="dxa"/>
              <w:right w:w="45" w:type="dxa"/>
            </w:tcMar>
            <w:vAlign w:val="center"/>
            <w:hideMark/>
          </w:tcPr>
          <w:p w:rsidR="00FA563D" w:rsidRPr="0044738B" w:rsidRDefault="00FA563D" w:rsidP="00B53FB3">
            <w:pPr>
              <w:textAlignment w:val="center"/>
              <w:rPr>
                <w:rFonts w:ascii="Verdana" w:hAnsi="Verdana"/>
                <w:sz w:val="18"/>
                <w:szCs w:val="20"/>
              </w:rPr>
            </w:pPr>
            <w:r w:rsidRPr="0044738B">
              <w:rPr>
                <w:rFonts w:ascii="Verdana" w:hAnsi="Verdana"/>
                <w:sz w:val="18"/>
                <w:szCs w:val="20"/>
              </w:rPr>
              <w:t>NUMERO MEDIO DEI COMPONENTI PER FAMIGLIA</w:t>
            </w:r>
          </w:p>
        </w:tc>
        <w:tc>
          <w:tcPr>
            <w:tcW w:w="855" w:type="dxa"/>
            <w:tcBorders>
              <w:right w:val="nil"/>
            </w:tcBorders>
            <w:shd w:val="clear" w:color="auto" w:fill="FFFFFF"/>
            <w:noWrap/>
            <w:tcMar>
              <w:top w:w="45" w:type="dxa"/>
              <w:left w:w="45" w:type="dxa"/>
              <w:bottom w:w="45" w:type="dxa"/>
              <w:right w:w="45" w:type="dxa"/>
            </w:tcMar>
            <w:vAlign w:val="center"/>
            <w:hideMark/>
          </w:tcPr>
          <w:p w:rsidR="00FA563D" w:rsidRPr="0044738B" w:rsidRDefault="00FA563D" w:rsidP="00B53FB3">
            <w:pPr>
              <w:jc w:val="center"/>
              <w:textAlignment w:val="center"/>
              <w:rPr>
                <w:rFonts w:ascii="Verdana" w:hAnsi="Verdana"/>
                <w:sz w:val="18"/>
                <w:szCs w:val="20"/>
              </w:rPr>
            </w:pPr>
            <w:r w:rsidRPr="0044738B">
              <w:rPr>
                <w:rFonts w:ascii="Verdana" w:hAnsi="Verdana"/>
                <w:sz w:val="18"/>
                <w:szCs w:val="20"/>
              </w:rPr>
              <w:t>2,3</w:t>
            </w:r>
          </w:p>
        </w:tc>
      </w:tr>
      <w:tr w:rsidR="00FA563D" w:rsidRPr="0044738B" w:rsidTr="00B53FB3">
        <w:trPr>
          <w:trHeight w:val="300"/>
        </w:trPr>
        <w:tc>
          <w:tcPr>
            <w:tcW w:w="8160" w:type="dxa"/>
            <w:tcBorders>
              <w:right w:val="single" w:sz="6" w:space="0" w:color="E8E8E8"/>
            </w:tcBorders>
            <w:shd w:val="clear" w:color="auto" w:fill="F8F8F8"/>
            <w:noWrap/>
            <w:tcMar>
              <w:top w:w="45" w:type="dxa"/>
              <w:left w:w="45" w:type="dxa"/>
              <w:bottom w:w="45" w:type="dxa"/>
              <w:right w:w="45" w:type="dxa"/>
            </w:tcMar>
            <w:vAlign w:val="center"/>
            <w:hideMark/>
          </w:tcPr>
          <w:p w:rsidR="00FA563D" w:rsidRPr="0044738B" w:rsidRDefault="00FA563D" w:rsidP="00B53FB3">
            <w:pPr>
              <w:textAlignment w:val="center"/>
              <w:rPr>
                <w:rFonts w:ascii="Verdana" w:hAnsi="Verdana"/>
                <w:sz w:val="18"/>
                <w:szCs w:val="20"/>
              </w:rPr>
            </w:pPr>
            <w:r w:rsidRPr="0044738B">
              <w:rPr>
                <w:rFonts w:ascii="Verdana" w:hAnsi="Verdana"/>
                <w:b/>
                <w:bCs/>
                <w:sz w:val="18"/>
                <w:szCs w:val="20"/>
              </w:rPr>
              <w:t>ACQUISTO MEDIO A PERSONA NEI SALDI INVERNALI (euro)</w:t>
            </w:r>
          </w:p>
        </w:tc>
        <w:tc>
          <w:tcPr>
            <w:tcW w:w="855" w:type="dxa"/>
            <w:tcBorders>
              <w:right w:val="nil"/>
            </w:tcBorders>
            <w:shd w:val="clear" w:color="auto" w:fill="F8F8F8"/>
            <w:noWrap/>
            <w:tcMar>
              <w:top w:w="45" w:type="dxa"/>
              <w:left w:w="45" w:type="dxa"/>
              <w:bottom w:w="45" w:type="dxa"/>
              <w:right w:w="45" w:type="dxa"/>
            </w:tcMar>
            <w:vAlign w:val="center"/>
            <w:hideMark/>
          </w:tcPr>
          <w:p w:rsidR="00FA563D" w:rsidRPr="0044738B" w:rsidRDefault="00FA563D" w:rsidP="00B53FB3">
            <w:pPr>
              <w:jc w:val="center"/>
              <w:textAlignment w:val="center"/>
              <w:rPr>
                <w:rFonts w:ascii="Verdana" w:hAnsi="Verdana"/>
                <w:sz w:val="18"/>
                <w:szCs w:val="20"/>
              </w:rPr>
            </w:pPr>
            <w:r w:rsidRPr="0044738B">
              <w:rPr>
                <w:rFonts w:ascii="Verdana" w:hAnsi="Verdana"/>
                <w:b/>
                <w:bCs/>
                <w:sz w:val="18"/>
                <w:szCs w:val="20"/>
              </w:rPr>
              <w:t>143</w:t>
            </w:r>
          </w:p>
        </w:tc>
      </w:tr>
    </w:tbl>
    <w:p w:rsidR="00FA563D" w:rsidRDefault="00FA563D" w:rsidP="0033097C">
      <w:pPr>
        <w:jc w:val="both"/>
        <w:rPr>
          <w:rFonts w:ascii="Verdana" w:hAnsi="Verdana"/>
          <w:i/>
          <w:sz w:val="18"/>
          <w:szCs w:val="18"/>
        </w:rPr>
      </w:pPr>
    </w:p>
    <w:p w:rsidR="00FA563D" w:rsidRDefault="00FA563D" w:rsidP="0033097C">
      <w:pPr>
        <w:jc w:val="both"/>
        <w:rPr>
          <w:rFonts w:ascii="Verdana" w:hAnsi="Verdana"/>
          <w:i/>
          <w:sz w:val="18"/>
          <w:szCs w:val="18"/>
        </w:rPr>
      </w:pPr>
    </w:p>
    <w:p w:rsidR="00FA563D" w:rsidRDefault="00FA563D" w:rsidP="0033097C">
      <w:pPr>
        <w:jc w:val="both"/>
        <w:rPr>
          <w:rFonts w:ascii="Verdana" w:hAnsi="Verdana"/>
          <w:i/>
          <w:sz w:val="18"/>
          <w:szCs w:val="18"/>
        </w:rPr>
      </w:pPr>
    </w:p>
    <w:p w:rsidR="00FA563D" w:rsidRDefault="00FA563D" w:rsidP="00FA563D">
      <w:pPr>
        <w:jc w:val="both"/>
        <w:rPr>
          <w:rFonts w:ascii="Verdana" w:hAnsi="Verdana"/>
          <w:i/>
          <w:sz w:val="18"/>
          <w:szCs w:val="18"/>
        </w:rPr>
      </w:pPr>
      <w:r w:rsidRPr="00E738EA">
        <w:rPr>
          <w:rFonts w:ascii="Verdana" w:hAnsi="Verdana"/>
          <w:i/>
          <w:sz w:val="18"/>
          <w:szCs w:val="18"/>
        </w:rPr>
        <w:t>Fonte: elaborazioni Ufficio Studi Confcommercio</w:t>
      </w:r>
    </w:p>
    <w:p w:rsidR="00FA563D" w:rsidRDefault="00FA563D" w:rsidP="00FA563D">
      <w:pPr>
        <w:jc w:val="both"/>
        <w:rPr>
          <w:rFonts w:ascii="Verdana" w:hAnsi="Verdana"/>
          <w:i/>
          <w:sz w:val="18"/>
          <w:szCs w:val="18"/>
        </w:rPr>
      </w:pPr>
    </w:p>
    <w:p w:rsidR="00FA563D" w:rsidRPr="00E738EA" w:rsidRDefault="00FA563D" w:rsidP="0033097C">
      <w:pPr>
        <w:jc w:val="both"/>
        <w:rPr>
          <w:rFonts w:ascii="Verdana" w:hAnsi="Verdana"/>
          <w:i/>
          <w:sz w:val="18"/>
          <w:szCs w:val="18"/>
        </w:rPr>
      </w:pPr>
    </w:p>
    <w:sectPr w:rsidR="00FA563D" w:rsidRPr="00E738EA" w:rsidSect="0033097C">
      <w:pgSz w:w="11906" w:h="16838"/>
      <w:pgMar w:top="0"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AC4"/>
    <w:rsid w:val="002D281B"/>
    <w:rsid w:val="0033097C"/>
    <w:rsid w:val="00577AC4"/>
    <w:rsid w:val="006C28FA"/>
    <w:rsid w:val="00E738EA"/>
    <w:rsid w:val="00F431DA"/>
    <w:rsid w:val="00FA56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Elencomedio2-Colore1">
    <w:name w:val="Medium List 2 Accent 1"/>
    <w:basedOn w:val="Tabellanormale"/>
    <w:uiPriority w:val="66"/>
    <w:rsid w:val="00E738EA"/>
    <w:pPr>
      <w:spacing w:line="240" w:lineRule="auto"/>
    </w:pPr>
    <w:rPr>
      <w:rFonts w:asciiTheme="majorHAnsi" w:eastAsiaTheme="majorEastAsia" w:hAnsiTheme="majorHAnsi" w:cstheme="majorBidi"/>
      <w:color w:val="000000" w:themeColor="text1"/>
      <w:lang w:eastAsia="it-IT"/>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rigliatabella">
    <w:name w:val="Table Grid"/>
    <w:basedOn w:val="Tabellanormale"/>
    <w:uiPriority w:val="39"/>
    <w:rsid w:val="00E738E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2D281B"/>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D28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Elencomedio2-Colore1">
    <w:name w:val="Medium List 2 Accent 1"/>
    <w:basedOn w:val="Tabellanormale"/>
    <w:uiPriority w:val="66"/>
    <w:rsid w:val="00E738EA"/>
    <w:pPr>
      <w:spacing w:line="240" w:lineRule="auto"/>
    </w:pPr>
    <w:rPr>
      <w:rFonts w:asciiTheme="majorHAnsi" w:eastAsiaTheme="majorEastAsia" w:hAnsiTheme="majorHAnsi" w:cstheme="majorBidi"/>
      <w:color w:val="000000" w:themeColor="text1"/>
      <w:lang w:eastAsia="it-IT"/>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rigliatabella">
    <w:name w:val="Table Grid"/>
    <w:basedOn w:val="Tabellanormale"/>
    <w:uiPriority w:val="39"/>
    <w:rsid w:val="00E738E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2D281B"/>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D28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82B94-D0B0-445B-A325-C770ADABA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674</Words>
  <Characters>3843</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Daniele</dc:creator>
  <cp:lastModifiedBy>Michele Rancati</cp:lastModifiedBy>
  <cp:revision>2</cp:revision>
  <dcterms:created xsi:type="dcterms:W3CDTF">2018-01-04T14:45:00Z</dcterms:created>
  <dcterms:modified xsi:type="dcterms:W3CDTF">2018-01-04T14:45:00Z</dcterms:modified>
</cp:coreProperties>
</file>