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73" w:rsidRDefault="009D3E73" w:rsidP="009D3E73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Agricoltura. Misure anti-siccità, la Regione investe 18 milioni di euro per la realizzazione di nuovi invasi che garantiscano le riserve d'acqua</w:t>
      </w:r>
    </w:p>
    <w:p w:rsidR="009D3E73" w:rsidRDefault="009D3E73" w:rsidP="009D3E73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 xml:space="preserve">La Giunta approva due bandi nell'ambito del </w:t>
      </w:r>
      <w:proofErr w:type="spellStart"/>
      <w:r>
        <w:rPr>
          <w:rStyle w:val="Enfasicorsivo"/>
          <w:rFonts w:ascii="Arial" w:hAnsi="Arial" w:cs="Arial"/>
        </w:rPr>
        <w:t>Psr</w:t>
      </w:r>
      <w:proofErr w:type="spellEnd"/>
      <w:r>
        <w:rPr>
          <w:rStyle w:val="Enfasicorsivo"/>
          <w:rFonts w:ascii="Arial" w:hAnsi="Arial" w:cs="Arial"/>
        </w:rPr>
        <w:t xml:space="preserve"> 2014-2020 rivolti a consorzi tra aziende agricole e ai Consorzi di bonifica, con aiuti che coprono rispettivamente fino al 60% e al 100% dei costi. L'assessore Caselli: "I cambiamenti climatici ci impongono di dare risposte strutturali sul piano dell'approvvigionamento idrico per mettere le aziende in condizione di fronteggiare anche estati siccitose come quella appena trascorsa". Domande a partire dal 10 novembre 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Nuovi </w:t>
      </w:r>
      <w:r>
        <w:rPr>
          <w:rStyle w:val="Enfasigrassetto"/>
          <w:rFonts w:ascii="Arial" w:hAnsi="Arial" w:cs="Arial"/>
        </w:rPr>
        <w:t>invasi</w:t>
      </w:r>
      <w:r>
        <w:rPr>
          <w:rFonts w:ascii="Arial" w:hAnsi="Arial" w:cs="Arial"/>
        </w:rPr>
        <w:t xml:space="preserve"> per lo stoccaggio dell’acqua piovana per garantire alle aziende agricole adeguate riserve idriche per l’</w:t>
      </w:r>
      <w:r>
        <w:rPr>
          <w:rStyle w:val="Enfasigrassetto"/>
          <w:rFonts w:ascii="Arial" w:hAnsi="Arial" w:cs="Arial"/>
        </w:rPr>
        <w:t xml:space="preserve">irrigazione </w:t>
      </w:r>
      <w:r>
        <w:rPr>
          <w:rFonts w:ascii="Arial" w:hAnsi="Arial" w:cs="Arial"/>
        </w:rPr>
        <w:t xml:space="preserve">dei campi anche in caso di prolungata scarsità di precipitazioni, allontanando così lo spettro della </w:t>
      </w:r>
      <w:r>
        <w:rPr>
          <w:rStyle w:val="Enfasigrassetto"/>
          <w:rFonts w:ascii="Arial" w:hAnsi="Arial" w:cs="Arial"/>
        </w:rPr>
        <w:t>siccità</w:t>
      </w:r>
      <w:r>
        <w:rPr>
          <w:rFonts w:ascii="Arial" w:hAnsi="Arial" w:cs="Arial"/>
        </w:rPr>
        <w:t xml:space="preserve">. Con l’estate 2017 appena messa alle spalle e che passerà agli annali come una delle più torride e avare di piogge di sempre, la </w:t>
      </w:r>
      <w:r>
        <w:rPr>
          <w:rStyle w:val="Enfasigrassetto"/>
          <w:rFonts w:ascii="Arial" w:hAnsi="Arial" w:cs="Arial"/>
        </w:rPr>
        <w:t>Regione Emilia-Romagna</w:t>
      </w:r>
      <w:r>
        <w:rPr>
          <w:rFonts w:ascii="Arial" w:hAnsi="Arial" w:cs="Arial"/>
        </w:rPr>
        <w:t xml:space="preserve"> investe sul potenziamento delle infrastrutture irrigue al servizio dell’agricoltura mettendo sul piatto </w:t>
      </w:r>
      <w:r>
        <w:rPr>
          <w:rStyle w:val="Enfasigrassetto"/>
          <w:rFonts w:ascii="Arial" w:hAnsi="Arial" w:cs="Arial"/>
        </w:rPr>
        <w:t>18 milioni di euro</w:t>
      </w:r>
      <w:r>
        <w:rPr>
          <w:rFonts w:ascii="Arial" w:hAnsi="Arial" w:cs="Arial"/>
        </w:rPr>
        <w:t xml:space="preserve"> per incentivare la realizzazione e/o l’ampliamento di bacini di raccolta dell’’oro blu’ ad uso irriguo di piccole e medie dimensioni. 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fa attraverso </w:t>
      </w: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distinti </w:t>
      </w:r>
      <w:r>
        <w:rPr>
          <w:rStyle w:val="Enfasigrassetto"/>
          <w:rFonts w:ascii="Arial" w:hAnsi="Arial" w:cs="Arial"/>
        </w:rPr>
        <w:t>bandi</w:t>
      </w:r>
      <w:r>
        <w:rPr>
          <w:rFonts w:ascii="Arial" w:hAnsi="Arial" w:cs="Arial"/>
        </w:rPr>
        <w:t xml:space="preserve"> del Programma regionale di sviluppo rurale 2014-2020, rivolti rispettivamente a </w:t>
      </w:r>
      <w:r>
        <w:rPr>
          <w:rStyle w:val="Enfasigrassetto"/>
          <w:rFonts w:ascii="Arial" w:hAnsi="Arial" w:cs="Arial"/>
        </w:rPr>
        <w:t>consorzi tra imprese agricole</w:t>
      </w:r>
      <w:r>
        <w:rPr>
          <w:rFonts w:ascii="Arial" w:hAnsi="Arial" w:cs="Arial"/>
        </w:rPr>
        <w:t xml:space="preserve"> (delibera n. 1584/2017) e ai </w:t>
      </w:r>
      <w:r>
        <w:rPr>
          <w:rStyle w:val="Enfasigrassetto"/>
          <w:rFonts w:ascii="Arial" w:hAnsi="Arial" w:cs="Arial"/>
        </w:rPr>
        <w:t xml:space="preserve">consorzi di bonifica </w:t>
      </w:r>
      <w:r>
        <w:rPr>
          <w:rFonts w:ascii="Arial" w:hAnsi="Arial" w:cs="Arial"/>
        </w:rPr>
        <w:t>(delibera n. 1623/2017</w:t>
      </w:r>
      <w:r>
        <w:rPr>
          <w:rStyle w:val="Enfasigrassetto"/>
          <w:rFonts w:ascii="Arial" w:hAnsi="Arial" w:cs="Arial"/>
        </w:rPr>
        <w:t>)</w:t>
      </w:r>
      <w:r>
        <w:rPr>
          <w:rFonts w:ascii="Arial" w:hAnsi="Arial" w:cs="Arial"/>
        </w:rPr>
        <w:t xml:space="preserve">, approvati nei giorni scorsi dalla </w:t>
      </w:r>
      <w:r>
        <w:rPr>
          <w:rStyle w:val="Enfasigrassetto"/>
          <w:rFonts w:ascii="Arial" w:hAnsi="Arial" w:cs="Arial"/>
        </w:rPr>
        <w:t>Giunta regionale</w:t>
      </w:r>
      <w:r>
        <w:rPr>
          <w:rFonts w:ascii="Arial" w:hAnsi="Arial" w:cs="Arial"/>
        </w:rPr>
        <w:t>.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 cambiamenti climatici- sottolinea l’assessore regionale all’Agricoltura, </w:t>
      </w:r>
      <w:r>
        <w:rPr>
          <w:rStyle w:val="Enfasigrassetto"/>
          <w:rFonts w:ascii="Arial" w:hAnsi="Arial" w:cs="Arial"/>
        </w:rPr>
        <w:t>Simona Caselli</w:t>
      </w:r>
      <w:r>
        <w:rPr>
          <w:rFonts w:ascii="Arial" w:hAnsi="Arial" w:cs="Arial"/>
        </w:rPr>
        <w:t>- ci impongono di dare risposte strutturali sul piano dell’approvvigionamento idrico per mettere le nostre aziende in condizione di fronteggiare anche estati siccitose come quella appena trascorsa. A questo puntano i due bandi, che rappresentano solo uno dei tasselli di una più articolata politica di gestione delle risorse idriche in agricoltura all’insegna di un uso più efficiente e che fa leva sulla diffusione di innovative tecniche di irrigazione finalizzate al contenimento dei consumi e sul riciclo delle acque reflue. A ciò- prosegue l’assessore- va poi affiancato l’avvio di un confronto con i territori per rivedere il piano regionale di tutela delle acque, muovendo appunto dall’esigenza di realizzare nuovi invasi anche di grandi dimensioni”.         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I due bandi, gli interventi e l’importo dei progetti 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Il primo</w:t>
      </w:r>
      <w:r>
        <w:rPr>
          <w:rFonts w:ascii="Arial" w:hAnsi="Arial" w:cs="Arial"/>
        </w:rPr>
        <w:t xml:space="preserve"> dei due bandi, che stanzia oltre </w:t>
      </w:r>
      <w:r>
        <w:rPr>
          <w:rStyle w:val="Enfasigrassetto"/>
          <w:rFonts w:ascii="Arial" w:hAnsi="Arial" w:cs="Arial"/>
        </w:rPr>
        <w:t>7,9 milioni di euro</w:t>
      </w:r>
      <w:r>
        <w:rPr>
          <w:rFonts w:ascii="Arial" w:hAnsi="Arial" w:cs="Arial"/>
        </w:rPr>
        <w:t xml:space="preserve">, vede dunque come beneficiari i consorzi costituiti da aziende agricole, per la realizzazione di invasi di capacità compresa tra i </w:t>
      </w:r>
      <w:r>
        <w:rPr>
          <w:rStyle w:val="Enfasigrassetto"/>
          <w:rFonts w:ascii="Arial" w:hAnsi="Arial" w:cs="Arial"/>
        </w:rPr>
        <w:t>50mila</w:t>
      </w:r>
      <w:r>
        <w:rPr>
          <w:rFonts w:ascii="Arial" w:hAnsi="Arial" w:cs="Arial"/>
        </w:rPr>
        <w:t xml:space="preserve"> e i </w:t>
      </w:r>
      <w:r>
        <w:rPr>
          <w:rStyle w:val="Enfasigrassetto"/>
          <w:rFonts w:ascii="Arial" w:hAnsi="Arial" w:cs="Arial"/>
        </w:rPr>
        <w:t>250mila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metri cubi</w:t>
      </w:r>
      <w:r>
        <w:rPr>
          <w:rFonts w:ascii="Arial" w:hAnsi="Arial" w:cs="Arial"/>
        </w:rPr>
        <w:t>. Quanto alla dimensione finanziaria, i progetti di investimento possono oscillare da un minimo di</w:t>
      </w:r>
      <w:r>
        <w:rPr>
          <w:rStyle w:val="Enfasigrassetto"/>
          <w:rFonts w:ascii="Arial" w:hAnsi="Arial" w:cs="Arial"/>
        </w:rPr>
        <w:t xml:space="preserve"> 100mila </w:t>
      </w:r>
      <w:r>
        <w:rPr>
          <w:rFonts w:ascii="Arial" w:hAnsi="Arial" w:cs="Arial"/>
        </w:rPr>
        <w:t>ad un massimo di</w:t>
      </w:r>
      <w:r>
        <w:rPr>
          <w:rStyle w:val="Enfasigrassetto"/>
          <w:rFonts w:ascii="Arial" w:hAnsi="Arial" w:cs="Arial"/>
        </w:rPr>
        <w:t xml:space="preserve"> 1,2 milioni di euro</w:t>
      </w:r>
      <w:r>
        <w:rPr>
          <w:rFonts w:ascii="Arial" w:hAnsi="Arial" w:cs="Arial"/>
        </w:rPr>
        <w:t>.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>
        <w:rPr>
          <w:rStyle w:val="Enfasigrassetto"/>
          <w:rFonts w:ascii="Arial" w:hAnsi="Arial" w:cs="Arial"/>
        </w:rPr>
        <w:t>il secondo</w:t>
      </w:r>
      <w:r>
        <w:rPr>
          <w:rFonts w:ascii="Arial" w:hAnsi="Arial" w:cs="Arial"/>
        </w:rPr>
        <w:t xml:space="preserve"> bando, rivolto agli enti di bonifica, la capacità di stoccaggio dei bacini è invece fissata tra i </w:t>
      </w:r>
      <w:r>
        <w:rPr>
          <w:rStyle w:val="Enfasigrassetto"/>
          <w:rFonts w:ascii="Arial" w:hAnsi="Arial" w:cs="Arial"/>
        </w:rPr>
        <w:t>100mila</w:t>
      </w:r>
      <w:r>
        <w:rPr>
          <w:rFonts w:ascii="Arial" w:hAnsi="Arial" w:cs="Arial"/>
        </w:rPr>
        <w:t xml:space="preserve"> e i </w:t>
      </w:r>
      <w:r>
        <w:rPr>
          <w:rStyle w:val="Enfasigrassetto"/>
          <w:rFonts w:ascii="Arial" w:hAnsi="Arial" w:cs="Arial"/>
        </w:rPr>
        <w:t>250mila metri cubi</w:t>
      </w:r>
      <w:r>
        <w:rPr>
          <w:rFonts w:ascii="Arial" w:hAnsi="Arial" w:cs="Arial"/>
        </w:rPr>
        <w:t xml:space="preserve">, mentre l’importo dei progetti è più alto </w:t>
      </w:r>
      <w:r>
        <w:rPr>
          <w:rFonts w:ascii="Arial" w:hAnsi="Arial" w:cs="Arial"/>
        </w:rPr>
        <w:lastRenderedPageBreak/>
        <w:t xml:space="preserve">e può variare tra i </w:t>
      </w:r>
      <w:r>
        <w:rPr>
          <w:rStyle w:val="Enfasigrassetto"/>
          <w:rFonts w:ascii="Arial" w:hAnsi="Arial" w:cs="Arial"/>
        </w:rPr>
        <w:t>500mila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1,5 milioni di euro</w:t>
      </w:r>
      <w:r>
        <w:rPr>
          <w:rFonts w:ascii="Arial" w:hAnsi="Arial" w:cs="Arial"/>
        </w:rPr>
        <w:t>. Gli invasi  possono sorgere anche in ex cave e devono essere realizzati nel rispetto della normativa sulla valutazione di impatto ambientale e sull’aggiudicazione degli appalti pubblici. Va precisato che il limite massimo dei 250mila metri cubi è dettato dalla normativa nazionale. Per bacini di dimensioni più grandi i bandi sono gestiti direttamente dal ministero delle Politiche agricole, con risorse nazionali. 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Style w:val="Enfasigrassetto"/>
          <w:rFonts w:ascii="Arial" w:hAnsi="Arial" w:cs="Arial"/>
        </w:rPr>
        <w:t>Le spese ammissibili  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finanziamenti regionali sono erogati a copertura dei costi di realizzazione dei progetti. Tra le spese </w:t>
      </w:r>
      <w:proofErr w:type="spellStart"/>
      <w:r>
        <w:rPr>
          <w:rFonts w:ascii="Arial" w:hAnsi="Arial" w:cs="Arial"/>
        </w:rPr>
        <w:t>ammissibilirientrano</w:t>
      </w:r>
      <w:proofErr w:type="spellEnd"/>
      <w:r>
        <w:rPr>
          <w:rFonts w:ascii="Arial" w:hAnsi="Arial" w:cs="Arial"/>
        </w:rPr>
        <w:t xml:space="preserve"> anche quelle sostenute per le </w:t>
      </w:r>
      <w:r>
        <w:rPr>
          <w:rStyle w:val="Enfasigrassetto"/>
          <w:rFonts w:ascii="Arial" w:hAnsi="Arial" w:cs="Arial"/>
        </w:rPr>
        <w:t>opere di distribuzione</w:t>
      </w:r>
      <w:r>
        <w:rPr>
          <w:rFonts w:ascii="Arial" w:hAnsi="Arial" w:cs="Arial"/>
        </w:rPr>
        <w:t xml:space="preserve"> in pressione dell’acqua, i </w:t>
      </w:r>
      <w:r>
        <w:rPr>
          <w:rStyle w:val="Enfasigrassetto"/>
          <w:rFonts w:ascii="Arial" w:hAnsi="Arial" w:cs="Arial"/>
        </w:rPr>
        <w:t>lavori accessori</w:t>
      </w:r>
      <w:r>
        <w:rPr>
          <w:rFonts w:ascii="Arial" w:hAnsi="Arial" w:cs="Arial"/>
        </w:rPr>
        <w:t xml:space="preserve"> (recinzioni, cancelli, scalette di risalita, cartelli, ecc.), i sistemi per la </w:t>
      </w:r>
      <w:r>
        <w:rPr>
          <w:rStyle w:val="Enfasigrassetto"/>
          <w:rFonts w:ascii="Arial" w:hAnsi="Arial" w:cs="Arial"/>
        </w:rPr>
        <w:t>gestione della rete idrica</w:t>
      </w:r>
      <w:r>
        <w:rPr>
          <w:rFonts w:ascii="Arial" w:hAnsi="Arial" w:cs="Arial"/>
        </w:rPr>
        <w:t>, nonché i costi di progettazione e per la realizzazione di studi di fattibilità, entro il limite del 10%. Nel caso di interventi realizzati dai consorzi di bonifica sono altresì ammissibili le spese per l’</w:t>
      </w:r>
      <w:r>
        <w:rPr>
          <w:rStyle w:val="Enfasigrassetto"/>
          <w:rFonts w:ascii="Arial" w:hAnsi="Arial" w:cs="Arial"/>
        </w:rPr>
        <w:t>acquisto dei terreni</w:t>
      </w:r>
      <w:r>
        <w:rPr>
          <w:rFonts w:ascii="Arial" w:hAnsi="Arial" w:cs="Arial"/>
        </w:rPr>
        <w:t xml:space="preserve">, comprese le indennità di esproprio per pubblica utilità, entro il tetto del 10% del costo totale del progetto. L’aiuto finanziario consiste nel primo caso nell’erogazione di un </w:t>
      </w:r>
      <w:r>
        <w:rPr>
          <w:rStyle w:val="Enfasigrassetto"/>
          <w:rFonts w:ascii="Arial" w:hAnsi="Arial" w:cs="Arial"/>
        </w:rPr>
        <w:t>contributo del 60%</w:t>
      </w:r>
      <w:r>
        <w:rPr>
          <w:rFonts w:ascii="Arial" w:hAnsi="Arial" w:cs="Arial"/>
        </w:rPr>
        <w:t xml:space="preserve"> sul totale delle spese documentate, percentuale che sale </w:t>
      </w:r>
      <w:r>
        <w:rPr>
          <w:rStyle w:val="Enfasigrassetto"/>
          <w:rFonts w:ascii="Arial" w:hAnsi="Arial" w:cs="Arial"/>
        </w:rPr>
        <w:t>al 100%</w:t>
      </w:r>
      <w:r>
        <w:rPr>
          <w:rFonts w:ascii="Arial" w:hAnsi="Arial" w:cs="Arial"/>
        </w:rPr>
        <w:t xml:space="preserve"> per il secondo bando rivolto ai consorzi di bonifica. 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dimostrare il corretto utilizzo delle risorse idriche le aziende consorziate dovranno avvalersi nella gestione delle irrigazioni di sistemi “intelligenti” di consiglio irriguo, ad esempio il servizio </w:t>
      </w:r>
      <w:proofErr w:type="spellStart"/>
      <w:r>
        <w:rPr>
          <w:rStyle w:val="Enfasigrassetto"/>
          <w:rFonts w:ascii="Arial" w:hAnsi="Arial" w:cs="Arial"/>
        </w:rPr>
        <w:t>Irrinet</w:t>
      </w:r>
      <w:proofErr w:type="spellEnd"/>
      <w:r>
        <w:rPr>
          <w:rFonts w:ascii="Arial" w:hAnsi="Arial" w:cs="Arial"/>
        </w:rPr>
        <w:t xml:space="preserve"> lanciato dal </w:t>
      </w:r>
      <w:proofErr w:type="spellStart"/>
      <w:r>
        <w:rPr>
          <w:rStyle w:val="Enfasigrassetto"/>
          <w:rFonts w:ascii="Arial" w:hAnsi="Arial" w:cs="Arial"/>
        </w:rPr>
        <w:t>Cer</w:t>
      </w:r>
      <w:proofErr w:type="spellEnd"/>
      <w:r>
        <w:rPr>
          <w:rFonts w:ascii="Arial" w:hAnsi="Arial" w:cs="Arial"/>
        </w:rPr>
        <w:t xml:space="preserve"> (Canale Emiliano Romagnolo), in grado di dire quando e quanto irrigare i singoli appezzamenti.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Style w:val="Enfasigrassetto"/>
          <w:rFonts w:ascii="Arial" w:hAnsi="Arial" w:cs="Arial"/>
        </w:rPr>
        <w:t xml:space="preserve">La formazione della graduatoria 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domande di sostegno per entrambi i bandi possono essere presentate a partire dal </w:t>
      </w:r>
      <w:r>
        <w:rPr>
          <w:rStyle w:val="Enfasigrassetto"/>
          <w:rFonts w:ascii="Arial" w:hAnsi="Arial" w:cs="Arial"/>
        </w:rPr>
        <w:t xml:space="preserve">10 </w:t>
      </w:r>
      <w:proofErr w:type="spellStart"/>
      <w:r>
        <w:rPr>
          <w:rStyle w:val="Enfasigrassetto"/>
          <w:rFonts w:ascii="Arial" w:hAnsi="Arial" w:cs="Arial"/>
        </w:rPr>
        <w:t>novembre</w:t>
      </w:r>
      <w:r>
        <w:rPr>
          <w:rFonts w:ascii="Arial" w:hAnsi="Arial" w:cs="Arial"/>
        </w:rPr>
        <w:t>,utilizzando</w:t>
      </w:r>
      <w:proofErr w:type="spellEnd"/>
      <w:r>
        <w:rPr>
          <w:rFonts w:ascii="Arial" w:hAnsi="Arial" w:cs="Arial"/>
        </w:rPr>
        <w:t xml:space="preserve"> l’apposita modulistica predisposta da </w:t>
      </w:r>
      <w:hyperlink r:id="rId5" w:history="1">
        <w:proofErr w:type="spellStart"/>
        <w:r>
          <w:rPr>
            <w:rStyle w:val="Enfasigrassetto"/>
            <w:rFonts w:ascii="Arial" w:hAnsi="Arial" w:cs="Arial"/>
            <w:color w:val="0000FF"/>
            <w:u w:val="single"/>
          </w:rPr>
          <w:t>Agrea</w:t>
        </w:r>
        <w:proofErr w:type="spellEnd"/>
      </w:hyperlink>
      <w:r>
        <w:rPr>
          <w:rFonts w:ascii="Arial" w:hAnsi="Arial" w:cs="Arial"/>
        </w:rPr>
        <w:t xml:space="preserve"> e avvalendosi della piattaforma </w:t>
      </w:r>
      <w:proofErr w:type="spellStart"/>
      <w:r>
        <w:rPr>
          <w:rFonts w:ascii="Arial" w:hAnsi="Arial" w:cs="Arial"/>
        </w:rPr>
        <w:t>Siag</w:t>
      </w:r>
      <w:proofErr w:type="spellEnd"/>
      <w:r>
        <w:rPr>
          <w:rFonts w:ascii="Arial" w:hAnsi="Arial" w:cs="Arial"/>
        </w:rPr>
        <w:t xml:space="preserve">. La scadenza è fissata per il </w:t>
      </w:r>
      <w:r>
        <w:rPr>
          <w:rStyle w:val="Enfasigrassetto"/>
          <w:rFonts w:ascii="Arial" w:hAnsi="Arial" w:cs="Arial"/>
        </w:rPr>
        <w:t>18 gennaio</w:t>
      </w:r>
      <w:r>
        <w:rPr>
          <w:rFonts w:ascii="Arial" w:hAnsi="Arial" w:cs="Arial"/>
        </w:rPr>
        <w:t xml:space="preserve"> nel primo caso, mentre per il secondo c’è tempo fino al </w:t>
      </w:r>
      <w:r>
        <w:rPr>
          <w:rStyle w:val="Enfasigrassetto"/>
          <w:rFonts w:ascii="Arial" w:hAnsi="Arial" w:cs="Arial"/>
        </w:rPr>
        <w:t>31 gennaio</w:t>
      </w:r>
      <w:r>
        <w:rPr>
          <w:rFonts w:ascii="Arial" w:hAnsi="Arial" w:cs="Arial"/>
        </w:rPr>
        <w:t xml:space="preserve">. Per la formazione della </w:t>
      </w:r>
      <w:r>
        <w:rPr>
          <w:rStyle w:val="Enfasigrassetto"/>
          <w:rFonts w:ascii="Arial" w:hAnsi="Arial" w:cs="Arial"/>
        </w:rPr>
        <w:t>graduatoria</w:t>
      </w:r>
      <w:r>
        <w:rPr>
          <w:rFonts w:ascii="Arial" w:hAnsi="Arial" w:cs="Arial"/>
        </w:rPr>
        <w:t xml:space="preserve"> i progetti saranno valutati tenendo conto di una serie di priorità, tra cui la localizzazione degli interventi (quelli realizzati in aree rurali svantaggiate hanno un punteggio più elevato rispetto a quelli che ricadono in aree rurali intermedie), il più alto numero di aziende coinvolte e di ettari asserviti, il risparmio idrico previsto.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Style w:val="Enfasigrassetto"/>
          <w:rFonts w:ascii="Arial" w:hAnsi="Arial" w:cs="Arial"/>
        </w:rPr>
        <w:t>lavori di costruzione</w:t>
      </w:r>
      <w:r>
        <w:rPr>
          <w:rFonts w:ascii="Arial" w:hAnsi="Arial" w:cs="Arial"/>
        </w:rPr>
        <w:t xml:space="preserve"> degli invasi dovranno concludersi entro </w:t>
      </w:r>
      <w:r>
        <w:rPr>
          <w:rStyle w:val="Enfasigrassetto"/>
          <w:rFonts w:ascii="Arial" w:hAnsi="Arial" w:cs="Arial"/>
        </w:rPr>
        <w:t>18-24 mesi</w:t>
      </w:r>
      <w:r>
        <w:rPr>
          <w:rFonts w:ascii="Arial" w:hAnsi="Arial" w:cs="Arial"/>
        </w:rPr>
        <w:t xml:space="preserve"> dalla concessione del contributo. Prevista anche l’erogazione di un </w:t>
      </w:r>
      <w:r>
        <w:rPr>
          <w:rStyle w:val="Enfasigrassetto"/>
          <w:rFonts w:ascii="Arial" w:hAnsi="Arial" w:cs="Arial"/>
        </w:rPr>
        <w:t xml:space="preserve">anticipo, </w:t>
      </w:r>
      <w:r>
        <w:rPr>
          <w:rFonts w:ascii="Arial" w:hAnsi="Arial" w:cs="Arial"/>
        </w:rPr>
        <w:t xml:space="preserve">secondo modalità che saranno stabilite da </w:t>
      </w:r>
      <w:proofErr w:type="spellStart"/>
      <w:r>
        <w:rPr>
          <w:rFonts w:ascii="Arial" w:hAnsi="Arial" w:cs="Arial"/>
        </w:rPr>
        <w:t>Agrea</w:t>
      </w:r>
      <w:proofErr w:type="spellEnd"/>
      <w:r>
        <w:rPr>
          <w:rFonts w:ascii="Arial" w:hAnsi="Arial" w:cs="Arial"/>
        </w:rPr>
        <w:t>.</w:t>
      </w:r>
    </w:p>
    <w:p w:rsidR="009D3E73" w:rsidRDefault="009D3E73" w:rsidP="009D3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Non è la prima volta che la Regione concede contributi per la creazione di bacini a fini irrigui. Grazie alla </w:t>
      </w:r>
      <w:r>
        <w:rPr>
          <w:rStyle w:val="Enfasigrassetto"/>
          <w:rFonts w:ascii="Arial" w:hAnsi="Arial" w:cs="Arial"/>
        </w:rPr>
        <w:t>misura 125</w:t>
      </w:r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Psr</w:t>
      </w:r>
      <w:proofErr w:type="spellEnd"/>
      <w:r>
        <w:rPr>
          <w:rFonts w:ascii="Arial" w:hAnsi="Arial" w:cs="Arial"/>
        </w:rPr>
        <w:t xml:space="preserve"> 2007-2013 </w:t>
      </w:r>
      <w:r>
        <w:rPr>
          <w:rStyle w:val="Enfasigrassetto"/>
          <w:rFonts w:ascii="Arial" w:hAnsi="Arial" w:cs="Arial"/>
        </w:rPr>
        <w:t>sono già stati erogati</w:t>
      </w:r>
      <w:r>
        <w:rPr>
          <w:rFonts w:ascii="Arial" w:hAnsi="Arial" w:cs="Arial"/>
        </w:rPr>
        <w:t xml:space="preserve"> negli anni scorsi contributi per un importo di quasi </w:t>
      </w:r>
      <w:r>
        <w:rPr>
          <w:rStyle w:val="Enfasigrassetto"/>
          <w:rFonts w:ascii="Arial" w:hAnsi="Arial" w:cs="Arial"/>
        </w:rPr>
        <w:t>8 milioni di euro</w:t>
      </w:r>
      <w:r>
        <w:rPr>
          <w:rFonts w:ascii="Arial" w:hAnsi="Arial" w:cs="Arial"/>
        </w:rPr>
        <w:t xml:space="preserve">, con un investimento  complessivo di circa </w:t>
      </w:r>
      <w:r>
        <w:rPr>
          <w:rStyle w:val="Enfasigrassetto"/>
          <w:rFonts w:ascii="Arial" w:hAnsi="Arial" w:cs="Arial"/>
        </w:rPr>
        <w:t xml:space="preserve">12,3 milioni di </w:t>
      </w:r>
      <w:proofErr w:type="spellStart"/>
      <w:r>
        <w:rPr>
          <w:rStyle w:val="Enfasigrassetto"/>
          <w:rFonts w:ascii="Arial" w:hAnsi="Arial" w:cs="Arial"/>
        </w:rPr>
        <w:t>euro</w:t>
      </w:r>
      <w:r>
        <w:rPr>
          <w:rFonts w:ascii="Arial" w:hAnsi="Arial" w:cs="Arial"/>
        </w:rPr>
        <w:t>.Risorse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chehanno</w:t>
      </w:r>
      <w:proofErr w:type="spellEnd"/>
      <w:r>
        <w:rPr>
          <w:rFonts w:ascii="Arial" w:hAnsi="Arial" w:cs="Arial"/>
        </w:rPr>
        <w:t xml:space="preserve"> consentito la realizzazione di </w:t>
      </w:r>
      <w:r>
        <w:rPr>
          <w:rStyle w:val="Enfasigrassetto"/>
          <w:rFonts w:ascii="Arial" w:hAnsi="Arial" w:cs="Arial"/>
        </w:rPr>
        <w:t>15 invasi,</w:t>
      </w:r>
      <w:r>
        <w:rPr>
          <w:rFonts w:ascii="Arial" w:hAnsi="Arial" w:cs="Arial"/>
        </w:rPr>
        <w:t xml:space="preserve"> con una capacità complessiva di circa 870mila metri cubi e una rete distributiva di oltre </w:t>
      </w:r>
      <w:r>
        <w:rPr>
          <w:rStyle w:val="Enfasigrassetto"/>
          <w:rFonts w:ascii="Arial" w:hAnsi="Arial" w:cs="Arial"/>
        </w:rPr>
        <w:t>190 chilometri</w:t>
      </w:r>
      <w:r>
        <w:rPr>
          <w:rFonts w:ascii="Arial" w:hAnsi="Arial" w:cs="Arial"/>
        </w:rPr>
        <w:t>./</w:t>
      </w:r>
      <w:proofErr w:type="spellStart"/>
      <w:r>
        <w:rPr>
          <w:rFonts w:ascii="Arial" w:hAnsi="Arial" w:cs="Arial"/>
        </w:rPr>
        <w:t>G.Ma</w:t>
      </w:r>
      <w:proofErr w:type="spellEnd"/>
      <w:r>
        <w:rPr>
          <w:rFonts w:ascii="Arial" w:hAnsi="Arial" w:cs="Arial"/>
        </w:rPr>
        <w:t>.     </w:t>
      </w:r>
    </w:p>
    <w:p w:rsidR="00674EC1" w:rsidRDefault="00674EC1">
      <w:bookmarkStart w:id="0" w:name="_GoBack"/>
      <w:bookmarkEnd w:id="0"/>
    </w:p>
    <w:sectPr w:rsidR="00674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73"/>
    <w:rsid w:val="00674EC1"/>
    <w:rsid w:val="009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9D3E73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9D3E73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9D3E73"/>
    <w:rPr>
      <w:i/>
      <w:iCs/>
    </w:rPr>
  </w:style>
  <w:style w:type="character" w:styleId="Enfasigrassetto">
    <w:name w:val="Strong"/>
    <w:basedOn w:val="Carpredefinitoparagrafo"/>
    <w:uiPriority w:val="22"/>
    <w:qFormat/>
    <w:rsid w:val="009D3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9D3E73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9D3E73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9D3E73"/>
    <w:rPr>
      <w:i/>
      <w:iCs/>
    </w:rPr>
  </w:style>
  <w:style w:type="character" w:styleId="Enfasigrassetto">
    <w:name w:val="Strong"/>
    <w:basedOn w:val="Carpredefinitoparagrafo"/>
    <w:uiPriority w:val="22"/>
    <w:qFormat/>
    <w:rsid w:val="009D3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ea.regione.emilia-romag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5220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2017-10-26T11:32:00Z</dcterms:created>
  <dcterms:modified xsi:type="dcterms:W3CDTF">2017-10-26T11:33:00Z</dcterms:modified>
</cp:coreProperties>
</file>