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DF" w:rsidRPr="00436301" w:rsidRDefault="000114DF" w:rsidP="00134C16">
      <w:pPr>
        <w:jc w:val="both"/>
      </w:pPr>
      <w:bookmarkStart w:id="0" w:name="_GoBack"/>
      <w:bookmarkEnd w:id="0"/>
      <w:r w:rsidRPr="00436301">
        <w:rPr>
          <w:rFonts w:ascii="Arial" w:hAnsi="Arial" w:cs="Arial"/>
          <w:b/>
          <w:bCs/>
        </w:rPr>
        <w:t>Allegato – Il Piano in dettaglio</w:t>
      </w:r>
    </w:p>
    <w:p w:rsidR="000114DF" w:rsidRPr="00436301" w:rsidRDefault="000114DF" w:rsidP="00134C16">
      <w:pPr>
        <w:jc w:val="both"/>
      </w:pP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 xml:space="preserve">Dove interverrà il </w:t>
      </w:r>
      <w:proofErr w:type="spellStart"/>
      <w:r w:rsidRPr="00436301">
        <w:rPr>
          <w:rFonts w:ascii="Arial" w:hAnsi="Arial" w:cs="Arial"/>
          <w:b/>
          <w:bCs/>
        </w:rPr>
        <w:t>Pair</w:t>
      </w:r>
      <w:proofErr w:type="spellEnd"/>
      <w:r w:rsidRPr="00436301">
        <w:rPr>
          <w:rFonts w:ascii="Arial" w:hAnsi="Arial" w:cs="Arial"/>
          <w:b/>
          <w:bCs/>
        </w:rPr>
        <w:t xml:space="preserve">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Sei gli </w:t>
      </w:r>
      <w:r w:rsidRPr="00436301">
        <w:rPr>
          <w:rFonts w:ascii="Arial" w:hAnsi="Arial" w:cs="Arial"/>
          <w:b/>
          <w:bCs/>
        </w:rPr>
        <w:t>ambiti di intervento</w:t>
      </w:r>
      <w:r w:rsidRPr="00436301">
        <w:rPr>
          <w:rFonts w:ascii="Arial" w:hAnsi="Arial" w:cs="Arial"/>
        </w:rPr>
        <w:t xml:space="preserve"> del Piano: la gestione sostenibile delle città; il risparmio energetico e la riqualificazione energetica edilizia; la mobilità di persone e merci; l’agricoltura con la riduzione delle emissioni di ammoniaca dagli allevamenti e del contenuto di azoto nei fertilizzanti; le attività produttive con gli accordi di settore per il taglio delle emissioni, il contenimento delle emissioni diffuse e di composti organici volatili; gli acquisti verdi della pubblica amministrazione (Green public procurement).</w:t>
      </w:r>
    </w:p>
    <w:p w:rsidR="000114DF" w:rsidRPr="00436301" w:rsidRDefault="000114DF" w:rsidP="00134C16">
      <w:pPr>
        <w:jc w:val="both"/>
      </w:pP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 xml:space="preserve">Le misure principali previste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La rottamazione dei veicoli commerciali più inquinanti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Nel 2017 la Regione mette a disposizione </w:t>
      </w:r>
      <w:r w:rsidRPr="00436301">
        <w:rPr>
          <w:rFonts w:ascii="Arial" w:hAnsi="Arial" w:cs="Arial"/>
          <w:b/>
          <w:bCs/>
        </w:rPr>
        <w:t>2 milioni</w:t>
      </w:r>
      <w:r w:rsidRPr="00436301">
        <w:rPr>
          <w:rFonts w:ascii="Arial" w:hAnsi="Arial" w:cs="Arial"/>
        </w:rPr>
        <w:t xml:space="preserve"> di euro per la rottamazione dei mezzi commerciali più inquinanti: i diesel euro 0, 1, 2 e 3 e quelli a benzina euro 0 e 1. L’eco-bonus è rivolto </w:t>
      </w:r>
      <w:r w:rsidR="0070723A" w:rsidRPr="00436301">
        <w:rPr>
          <w:rFonts w:ascii="Arial" w:hAnsi="Arial" w:cs="Arial"/>
        </w:rPr>
        <w:t xml:space="preserve">prioritariamente </w:t>
      </w:r>
      <w:r w:rsidRPr="00436301">
        <w:rPr>
          <w:rFonts w:ascii="Arial" w:hAnsi="Arial" w:cs="Arial"/>
        </w:rPr>
        <w:t xml:space="preserve">a </w:t>
      </w:r>
      <w:r w:rsidRPr="00436301">
        <w:rPr>
          <w:rFonts w:ascii="Arial" w:hAnsi="Arial" w:cs="Arial"/>
          <w:b/>
          <w:bCs/>
        </w:rPr>
        <w:t>micro imprese</w:t>
      </w:r>
      <w:r w:rsidRPr="00436301">
        <w:rPr>
          <w:rFonts w:ascii="Arial" w:hAnsi="Arial" w:cs="Arial"/>
        </w:rPr>
        <w:t xml:space="preserve"> (fino a 10 dipendenti), </w:t>
      </w:r>
      <w:r w:rsidRPr="00436301">
        <w:rPr>
          <w:rFonts w:ascii="Arial" w:hAnsi="Arial" w:cs="Arial"/>
          <w:b/>
          <w:bCs/>
        </w:rPr>
        <w:t>piccole imprese</w:t>
      </w:r>
      <w:r w:rsidRPr="00436301">
        <w:rPr>
          <w:rFonts w:ascii="Arial" w:hAnsi="Arial" w:cs="Arial"/>
        </w:rPr>
        <w:t xml:space="preserve"> (fino a 50 dipendenti) e ad </w:t>
      </w:r>
      <w:r w:rsidRPr="00436301">
        <w:rPr>
          <w:rFonts w:ascii="Arial" w:hAnsi="Arial" w:cs="Arial"/>
          <w:b/>
          <w:bCs/>
        </w:rPr>
        <w:t>aziende artigiane</w:t>
      </w:r>
      <w:r w:rsidRPr="00436301">
        <w:rPr>
          <w:rFonts w:ascii="Arial" w:hAnsi="Arial" w:cs="Arial"/>
        </w:rPr>
        <w:t xml:space="preserve"> con sede legale in uno dei comuni </w:t>
      </w:r>
      <w:r w:rsidR="0070723A" w:rsidRPr="00436301">
        <w:rPr>
          <w:rFonts w:ascii="Arial" w:hAnsi="Arial" w:cs="Arial"/>
        </w:rPr>
        <w:t>in cui si applicano le limitazioni alla circolazione</w:t>
      </w:r>
      <w:r w:rsidRPr="00436301">
        <w:rPr>
          <w:rFonts w:ascii="Arial" w:hAnsi="Arial" w:cs="Arial"/>
        </w:rPr>
        <w:t xml:space="preserve"> o in ogni comune della regione se l'impresa sia in possesso </w:t>
      </w:r>
      <w:r w:rsidR="0070723A" w:rsidRPr="00436301">
        <w:rPr>
          <w:rFonts w:ascii="Arial" w:hAnsi="Arial" w:cs="Arial"/>
        </w:rPr>
        <w:t xml:space="preserve">da almeno un anno </w:t>
      </w:r>
      <w:r w:rsidRPr="00436301">
        <w:rPr>
          <w:rFonts w:ascii="Arial" w:hAnsi="Arial" w:cs="Arial"/>
        </w:rPr>
        <w:t xml:space="preserve">di un pass o di un’autorizzazione per l’accesso </w:t>
      </w:r>
      <w:r w:rsidR="0070723A" w:rsidRPr="00436301">
        <w:rPr>
          <w:rFonts w:ascii="Arial" w:hAnsi="Arial" w:cs="Arial"/>
        </w:rPr>
        <w:t>agli stessi</w:t>
      </w:r>
      <w:r w:rsidRPr="00436301">
        <w:rPr>
          <w:rFonts w:ascii="Arial" w:hAnsi="Arial" w:cs="Arial"/>
        </w:rPr>
        <w:t xml:space="preserve"> 30 comuni.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Avrà il valore di </w:t>
      </w:r>
      <w:r w:rsidRPr="00436301">
        <w:rPr>
          <w:rFonts w:ascii="Arial" w:hAnsi="Arial" w:cs="Arial"/>
          <w:b/>
          <w:bCs/>
        </w:rPr>
        <w:t>2.500 euro</w:t>
      </w:r>
      <w:r w:rsidRPr="00436301">
        <w:rPr>
          <w:rFonts w:ascii="Arial" w:hAnsi="Arial" w:cs="Arial"/>
        </w:rPr>
        <w:t xml:space="preserve"> e riguarderà la sostituzione di un solo veicolo merci per ogni azienda con uno nuovo di ca</w:t>
      </w:r>
      <w:r w:rsidR="00F76F97" w:rsidRPr="00436301">
        <w:rPr>
          <w:rFonts w:ascii="Arial" w:hAnsi="Arial" w:cs="Arial"/>
        </w:rPr>
        <w:t xml:space="preserve">tegoria </w:t>
      </w:r>
      <w:r w:rsidR="00436301">
        <w:rPr>
          <w:rFonts w:ascii="Arial" w:hAnsi="Arial" w:cs="Arial"/>
        </w:rPr>
        <w:t>E</w:t>
      </w:r>
      <w:r w:rsidR="00F76F97" w:rsidRPr="00436301">
        <w:rPr>
          <w:rFonts w:ascii="Arial" w:hAnsi="Arial" w:cs="Arial"/>
        </w:rPr>
        <w:t xml:space="preserve">uro 6 alimentato a </w:t>
      </w:r>
      <w:proofErr w:type="spellStart"/>
      <w:r w:rsidR="00F76F97" w:rsidRPr="00436301">
        <w:rPr>
          <w:rFonts w:ascii="Arial" w:hAnsi="Arial" w:cs="Arial"/>
        </w:rPr>
        <w:t>gpl</w:t>
      </w:r>
      <w:proofErr w:type="spellEnd"/>
      <w:r w:rsidR="00F76F97" w:rsidRPr="00436301">
        <w:rPr>
          <w:rFonts w:ascii="Arial" w:hAnsi="Arial" w:cs="Arial"/>
        </w:rPr>
        <w:t xml:space="preserve"> e</w:t>
      </w:r>
      <w:r w:rsidRPr="00436301">
        <w:rPr>
          <w:rFonts w:ascii="Arial" w:hAnsi="Arial" w:cs="Arial"/>
        </w:rPr>
        <w:t xml:space="preserve"> metano oppure elettrico </w:t>
      </w:r>
      <w:r w:rsidR="00F76F97" w:rsidRPr="00436301">
        <w:rPr>
          <w:rFonts w:ascii="Arial" w:hAnsi="Arial" w:cs="Arial"/>
        </w:rPr>
        <w:t xml:space="preserve">e </w:t>
      </w:r>
      <w:r w:rsidRPr="00436301">
        <w:rPr>
          <w:rFonts w:ascii="Arial" w:hAnsi="Arial" w:cs="Arial"/>
        </w:rPr>
        <w:t xml:space="preserve">ibrido.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Riduzione del traffico nei centri abitati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Meno 20%</w:t>
      </w:r>
      <w:r w:rsidRPr="00436301">
        <w:rPr>
          <w:rFonts w:ascii="Arial" w:hAnsi="Arial" w:cs="Arial"/>
        </w:rPr>
        <w:t xml:space="preserve"> di traffico veicolare privato nei centri abitati dei 30 Comuni </w:t>
      </w:r>
      <w:r w:rsidR="0070723A" w:rsidRPr="00436301">
        <w:rPr>
          <w:rFonts w:ascii="Arial" w:hAnsi="Arial" w:cs="Arial"/>
        </w:rPr>
        <w:t>in cui si applicano le limitazioni alla circolazione</w:t>
      </w:r>
      <w:r w:rsidRPr="00436301">
        <w:rPr>
          <w:rFonts w:ascii="Arial" w:hAnsi="Arial" w:cs="Arial"/>
        </w:rPr>
        <w:t xml:space="preserve">. Un obiettivo da raggiungere con incentivi </w:t>
      </w:r>
      <w:r w:rsidR="0070723A" w:rsidRPr="00436301">
        <w:rPr>
          <w:rFonts w:ascii="Arial" w:hAnsi="Arial" w:cs="Arial"/>
        </w:rPr>
        <w:t xml:space="preserve">per la mobilità </w:t>
      </w:r>
      <w:r w:rsidR="00263166" w:rsidRPr="00436301">
        <w:rPr>
          <w:rFonts w:ascii="Arial" w:hAnsi="Arial" w:cs="Arial"/>
        </w:rPr>
        <w:t>elettrica</w:t>
      </w:r>
      <w:r w:rsidRPr="00436301">
        <w:rPr>
          <w:rFonts w:ascii="Arial" w:hAnsi="Arial" w:cs="Arial"/>
        </w:rPr>
        <w:t xml:space="preserve"> fino a coprire almeno il 10% delle nuove immatricolazioni e per il potenziamento della </w:t>
      </w:r>
      <w:r w:rsidRPr="00436301">
        <w:rPr>
          <w:rFonts w:ascii="Arial" w:hAnsi="Arial" w:cs="Arial"/>
          <w:b/>
          <w:bCs/>
        </w:rPr>
        <w:t>rete pubblica di ricarica</w:t>
      </w:r>
      <w:r w:rsidRPr="00436301">
        <w:rPr>
          <w:rFonts w:ascii="Arial" w:hAnsi="Arial" w:cs="Arial"/>
        </w:rPr>
        <w:t xml:space="preserve">; aumento del numero di stazioni di rifornimento di </w:t>
      </w:r>
      <w:r w:rsidRPr="00436301">
        <w:rPr>
          <w:rFonts w:ascii="Arial" w:hAnsi="Arial" w:cs="Arial"/>
          <w:b/>
          <w:bCs/>
        </w:rPr>
        <w:t xml:space="preserve">metano e </w:t>
      </w:r>
      <w:proofErr w:type="spellStart"/>
      <w:r w:rsidRPr="00436301">
        <w:rPr>
          <w:rFonts w:ascii="Arial" w:hAnsi="Arial" w:cs="Arial"/>
          <w:b/>
          <w:bCs/>
        </w:rPr>
        <w:t>biometano</w:t>
      </w:r>
      <w:proofErr w:type="spellEnd"/>
      <w:r w:rsidRPr="00436301">
        <w:rPr>
          <w:rFonts w:ascii="Arial" w:hAnsi="Arial" w:cs="Arial"/>
        </w:rPr>
        <w:t xml:space="preserve">; applicazione del </w:t>
      </w:r>
      <w:r w:rsidRPr="00436301">
        <w:rPr>
          <w:rFonts w:ascii="Arial" w:hAnsi="Arial" w:cs="Arial"/>
          <w:b/>
          <w:bCs/>
        </w:rPr>
        <w:t>bollo differenziato</w:t>
      </w:r>
      <w:r w:rsidRPr="00436301">
        <w:rPr>
          <w:rFonts w:ascii="Arial" w:hAnsi="Arial" w:cs="Arial"/>
        </w:rPr>
        <w:t xml:space="preserve"> in funzione del potere inquinante del veicolo; ampliamento delle </w:t>
      </w:r>
      <w:r w:rsidRPr="00436301">
        <w:rPr>
          <w:rFonts w:ascii="Arial" w:hAnsi="Arial" w:cs="Arial"/>
          <w:b/>
          <w:bCs/>
        </w:rPr>
        <w:t>aree pedonali, a traffico limitato e delle “zone 30”</w:t>
      </w:r>
      <w:r w:rsidRPr="00436301">
        <w:rPr>
          <w:rFonts w:ascii="Arial" w:hAnsi="Arial" w:cs="Arial"/>
        </w:rPr>
        <w:t xml:space="preserve">; armonizzazione delle regole di accesso e sosta nelle </w:t>
      </w:r>
      <w:proofErr w:type="spellStart"/>
      <w:r w:rsidRPr="00436301">
        <w:rPr>
          <w:rFonts w:ascii="Arial" w:hAnsi="Arial" w:cs="Arial"/>
        </w:rPr>
        <w:t>Ztl</w:t>
      </w:r>
      <w:proofErr w:type="spellEnd"/>
      <w:r w:rsidRPr="00436301">
        <w:rPr>
          <w:rFonts w:ascii="Arial" w:hAnsi="Arial" w:cs="Arial"/>
        </w:rPr>
        <w:t xml:space="preserve"> e altre misure equivalenti individuate dai Comuni nell'ambito dei Piani urbani per la mobilità sostenibile.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Trasporto pubblico locale e regionale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Entro il 2020 si investiranno oltre </w:t>
      </w:r>
      <w:r w:rsidR="00F76F97" w:rsidRPr="00436301">
        <w:rPr>
          <w:rFonts w:ascii="Arial" w:hAnsi="Arial" w:cs="Arial"/>
          <w:b/>
          <w:bCs/>
        </w:rPr>
        <w:t>160</w:t>
      </w:r>
      <w:r w:rsidRPr="00436301">
        <w:rPr>
          <w:rFonts w:ascii="Arial" w:hAnsi="Arial" w:cs="Arial"/>
          <w:b/>
          <w:bCs/>
        </w:rPr>
        <w:t xml:space="preserve"> milioni</w:t>
      </w:r>
      <w:r w:rsidRPr="00436301">
        <w:rPr>
          <w:rFonts w:ascii="Arial" w:hAnsi="Arial" w:cs="Arial"/>
        </w:rPr>
        <w:t xml:space="preserve"> di </w:t>
      </w:r>
      <w:r w:rsidR="00436301">
        <w:rPr>
          <w:rFonts w:ascii="Arial" w:hAnsi="Arial" w:cs="Arial"/>
        </w:rPr>
        <w:t>e</w:t>
      </w:r>
      <w:r w:rsidRPr="00436301">
        <w:rPr>
          <w:rFonts w:ascii="Arial" w:hAnsi="Arial" w:cs="Arial"/>
        </w:rPr>
        <w:t xml:space="preserve">uro per la </w:t>
      </w:r>
      <w:r w:rsidRPr="00436301">
        <w:rPr>
          <w:rFonts w:ascii="Arial" w:hAnsi="Arial" w:cs="Arial"/>
          <w:b/>
          <w:bCs/>
        </w:rPr>
        <w:t xml:space="preserve">sostituzione di almeno </w:t>
      </w:r>
      <w:r w:rsidR="00F76F97" w:rsidRPr="00436301">
        <w:rPr>
          <w:rFonts w:ascii="Arial" w:hAnsi="Arial" w:cs="Arial"/>
          <w:b/>
          <w:bCs/>
        </w:rPr>
        <w:t>600</w:t>
      </w:r>
      <w:r w:rsidRPr="00436301">
        <w:rPr>
          <w:rFonts w:ascii="Arial" w:hAnsi="Arial" w:cs="Arial"/>
          <w:b/>
          <w:bCs/>
        </w:rPr>
        <w:t xml:space="preserve"> autobus </w:t>
      </w:r>
      <w:r w:rsidRPr="00436301">
        <w:rPr>
          <w:rFonts w:ascii="Arial" w:hAnsi="Arial" w:cs="Arial"/>
        </w:rPr>
        <w:t xml:space="preserve">di categoria inferiore a euro 3 in ambito urbano con nuovi mezzi a basso impatto ambientale.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Il Piano prevede il potenziamento del 10% del trasporto pubblico locale e del 20% del servizio ferroviario, anche attraverso la razionalizzazione e il recupero di efficienza del sistema.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Mobilità ciclo-pedonale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Raggiungimento della quota del </w:t>
      </w:r>
      <w:r w:rsidRPr="00436301">
        <w:rPr>
          <w:rFonts w:ascii="Arial" w:hAnsi="Arial" w:cs="Arial"/>
          <w:b/>
          <w:bCs/>
        </w:rPr>
        <w:t>20% degli spostamenti urbani con la bicicletta</w:t>
      </w:r>
      <w:r w:rsidRPr="00436301">
        <w:rPr>
          <w:rFonts w:ascii="Arial" w:hAnsi="Arial" w:cs="Arial"/>
        </w:rPr>
        <w:t xml:space="preserve"> nei prossimi 5 anni nei 30 Comuni interessati alle misure. Il Piano prevede l’incremento dei percorsi ciclo-pedonali per raggiungere l’obiettivo minimo di 1,5 metri per abitante.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Limitazioni alla circolazione dei veicoli privati nei centri abitati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Nel periodo tra il 1 ottobre e il 31 marzo di ogni anno, dal lunedì al venerdì e nelle domeniche ecologiche (la prima domenica di ogni mese, eccetto dicembre), nelle fasce orarie dalle 8.30 alle 18.30, si stabilisce la limitazione della circolazione nei centri abitati dei 30 Comuni </w:t>
      </w:r>
      <w:r w:rsidR="0070723A" w:rsidRPr="00436301">
        <w:rPr>
          <w:rFonts w:ascii="Arial" w:hAnsi="Arial" w:cs="Arial"/>
        </w:rPr>
        <w:t xml:space="preserve">con più di 30 mila abitanti e </w:t>
      </w:r>
      <w:r w:rsidR="00CD5D22" w:rsidRPr="00436301">
        <w:rPr>
          <w:rFonts w:ascii="Arial" w:hAnsi="Arial" w:cs="Arial"/>
        </w:rPr>
        <w:t xml:space="preserve">nella cintura </w:t>
      </w:r>
      <w:r w:rsidR="0070723A" w:rsidRPr="00436301">
        <w:rPr>
          <w:rFonts w:ascii="Arial" w:hAnsi="Arial" w:cs="Arial"/>
        </w:rPr>
        <w:t xml:space="preserve">di Bologna </w:t>
      </w:r>
      <w:r w:rsidRPr="00436301">
        <w:rPr>
          <w:rFonts w:ascii="Arial" w:hAnsi="Arial" w:cs="Arial"/>
        </w:rPr>
        <w:t xml:space="preserve">per i </w:t>
      </w:r>
      <w:r w:rsidRPr="00436301">
        <w:rPr>
          <w:rFonts w:ascii="Arial" w:hAnsi="Arial" w:cs="Arial"/>
          <w:b/>
          <w:bCs/>
        </w:rPr>
        <w:t>veicoli a benzina fino all'Euro 1, diesel fino all'Euro 3, ciclomotori e motocicli fino all'Euro 0</w:t>
      </w:r>
      <w:r w:rsidRPr="00436301">
        <w:rPr>
          <w:rFonts w:ascii="Arial" w:hAnsi="Arial" w:cs="Arial"/>
        </w:rPr>
        <w:t xml:space="preserve">. </w:t>
      </w:r>
      <w:r w:rsidRPr="00436301">
        <w:rPr>
          <w:rFonts w:ascii="Arial" w:hAnsi="Arial" w:cs="Arial"/>
          <w:b/>
          <w:bCs/>
        </w:rPr>
        <w:t>Dal 1 ottobre 2018</w:t>
      </w:r>
      <w:r w:rsidRPr="00436301">
        <w:rPr>
          <w:rFonts w:ascii="Arial" w:hAnsi="Arial" w:cs="Arial"/>
        </w:rPr>
        <w:t xml:space="preserve"> la </w:t>
      </w:r>
      <w:r w:rsidRPr="00436301">
        <w:rPr>
          <w:rFonts w:ascii="Arial" w:hAnsi="Arial" w:cs="Arial"/>
        </w:rPr>
        <w:lastRenderedPageBreak/>
        <w:t xml:space="preserve">limitazione sarà estesa a tutti i veicoli </w:t>
      </w:r>
      <w:r w:rsidRPr="00436301">
        <w:rPr>
          <w:rFonts w:ascii="Arial" w:hAnsi="Arial" w:cs="Arial"/>
          <w:b/>
          <w:bCs/>
        </w:rPr>
        <w:t>diesel Euro 4</w:t>
      </w:r>
      <w:r w:rsidRPr="00436301">
        <w:rPr>
          <w:rFonts w:ascii="Arial" w:hAnsi="Arial" w:cs="Arial"/>
        </w:rPr>
        <w:t xml:space="preserve">; dal 1 ottobre 2020 anche </w:t>
      </w:r>
      <w:r w:rsidRPr="00436301">
        <w:rPr>
          <w:rFonts w:ascii="Arial" w:hAnsi="Arial" w:cs="Arial"/>
          <w:b/>
          <w:bCs/>
        </w:rPr>
        <w:t>ai mezzi a benzina Euro 2</w:t>
      </w:r>
      <w:r w:rsidRPr="00436301">
        <w:rPr>
          <w:rFonts w:ascii="Arial" w:hAnsi="Arial" w:cs="Arial"/>
        </w:rPr>
        <w:t xml:space="preserve"> e ai restanti veicoli</w:t>
      </w:r>
      <w:r w:rsidR="00CD5D22" w:rsidRPr="00436301">
        <w:rPr>
          <w:rFonts w:ascii="Arial" w:hAnsi="Arial" w:cs="Arial"/>
        </w:rPr>
        <w:t xml:space="preserve"> (</w:t>
      </w:r>
      <w:proofErr w:type="spellStart"/>
      <w:r w:rsidR="00CD5D22" w:rsidRPr="00436301">
        <w:rPr>
          <w:rFonts w:ascii="Arial" w:hAnsi="Arial" w:cs="Arial"/>
          <w:b/>
        </w:rPr>
        <w:t>gpl</w:t>
      </w:r>
      <w:proofErr w:type="spellEnd"/>
      <w:r w:rsidR="00CD5D22" w:rsidRPr="00436301">
        <w:rPr>
          <w:rFonts w:ascii="Arial" w:hAnsi="Arial" w:cs="Arial"/>
          <w:b/>
        </w:rPr>
        <w:t xml:space="preserve">, metano e per le due ruote) </w:t>
      </w:r>
      <w:r w:rsidRPr="00436301">
        <w:rPr>
          <w:rFonts w:ascii="Arial" w:hAnsi="Arial" w:cs="Arial"/>
          <w:b/>
        </w:rPr>
        <w:t xml:space="preserve">fino all'Euro 1 </w:t>
      </w:r>
      <w:r w:rsidRPr="00436301">
        <w:rPr>
          <w:rFonts w:ascii="Arial" w:hAnsi="Arial" w:cs="Arial"/>
        </w:rPr>
        <w:t xml:space="preserve">incluso.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Ampliamento aree verdi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Altro tema centrale è la dotazione delle cosiddette “</w:t>
      </w:r>
      <w:r w:rsidRPr="00436301">
        <w:rPr>
          <w:rFonts w:ascii="Arial" w:hAnsi="Arial" w:cs="Arial"/>
          <w:b/>
          <w:bCs/>
        </w:rPr>
        <w:t>infrastrutture verdi</w:t>
      </w:r>
      <w:r w:rsidRPr="00436301">
        <w:rPr>
          <w:rFonts w:ascii="Arial" w:hAnsi="Arial" w:cs="Arial"/>
        </w:rPr>
        <w:t xml:space="preserve">”, capaci di assorbire e catturare gli inquinanti atmosferici e rendere le aree urbane più gradevoli per pedoni e ciclisti. Si punta al rispetto della norma nazionale sulla piantumazione di </w:t>
      </w:r>
      <w:r w:rsidRPr="00436301">
        <w:rPr>
          <w:rFonts w:ascii="Arial" w:hAnsi="Arial" w:cs="Arial"/>
          <w:b/>
          <w:bCs/>
        </w:rPr>
        <w:t>un albero per ogni nuovo nato</w:t>
      </w:r>
      <w:r w:rsidRPr="00436301">
        <w:rPr>
          <w:rFonts w:ascii="Arial" w:hAnsi="Arial" w:cs="Arial"/>
        </w:rPr>
        <w:t>, all’aumento del 20% dei metri quadrati di aree verdi per abitante oppure al raggiungimento dello standard di 50 metri quadrati per abitante.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Energia e riscaldamento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Si promuove l’utilizzo di </w:t>
      </w:r>
      <w:r w:rsidRPr="00436301">
        <w:rPr>
          <w:rFonts w:ascii="Arial" w:hAnsi="Arial" w:cs="Arial"/>
          <w:b/>
          <w:bCs/>
        </w:rPr>
        <w:t>fonti di energia rinnovabile</w:t>
      </w:r>
      <w:r w:rsidRPr="00436301">
        <w:rPr>
          <w:rFonts w:ascii="Arial" w:hAnsi="Arial" w:cs="Arial"/>
        </w:rPr>
        <w:t xml:space="preserve"> che non producono emissioni di inquinanti, come il solare e il fotovoltaico, e la riqualificazione energetica degli edifici pubblici e delle attività produttive finanziata fino al 2020 con 95 milioni dal Por </w:t>
      </w:r>
      <w:proofErr w:type="spellStart"/>
      <w:r w:rsidRPr="00436301">
        <w:rPr>
          <w:rFonts w:ascii="Arial" w:hAnsi="Arial" w:cs="Arial"/>
        </w:rPr>
        <w:t>Fesr</w:t>
      </w:r>
      <w:proofErr w:type="spellEnd"/>
      <w:r w:rsidRPr="00436301">
        <w:rPr>
          <w:rFonts w:ascii="Arial" w:hAnsi="Arial" w:cs="Arial"/>
        </w:rPr>
        <w:t xml:space="preserve">. È prevista inoltre la </w:t>
      </w:r>
      <w:r w:rsidRPr="00436301">
        <w:rPr>
          <w:rFonts w:ascii="Arial" w:hAnsi="Arial" w:cs="Arial"/>
          <w:b/>
          <w:bCs/>
        </w:rPr>
        <w:t>chiusura delle porte</w:t>
      </w:r>
      <w:r w:rsidRPr="00436301">
        <w:rPr>
          <w:rFonts w:ascii="Arial" w:hAnsi="Arial" w:cs="Arial"/>
        </w:rPr>
        <w:t xml:space="preserve"> degli esercizi commerciali e immobili con accesso al pubblico per evitare dispersioni di calore e di raffrescamento, limitazioni all'uso di olio combustibile negli impianti termici ad uso industriale, il divieto di installazione e utilizzo di impianti per la climatizzazione in spazi non abitati (come cantine, vani, box, garage, depositi o androni).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Per le unità immobiliari dotate di sistemi di riscaldamento </w:t>
      </w:r>
      <w:proofErr w:type="spellStart"/>
      <w:r w:rsidRPr="00436301">
        <w:rPr>
          <w:rFonts w:ascii="Arial" w:hAnsi="Arial" w:cs="Arial"/>
        </w:rPr>
        <w:t>multicombustibile</w:t>
      </w:r>
      <w:proofErr w:type="spellEnd"/>
      <w:r w:rsidRPr="00436301">
        <w:rPr>
          <w:rFonts w:ascii="Arial" w:hAnsi="Arial" w:cs="Arial"/>
        </w:rPr>
        <w:t xml:space="preserve">, si introduce il </w:t>
      </w:r>
      <w:r w:rsidRPr="00436301">
        <w:rPr>
          <w:rFonts w:ascii="Arial" w:hAnsi="Arial" w:cs="Arial"/>
          <w:b/>
          <w:bCs/>
        </w:rPr>
        <w:t>divieto di utilizzo dei camini “aperti” alimentati a legna</w:t>
      </w:r>
      <w:r w:rsidRPr="00436301">
        <w:rPr>
          <w:rFonts w:ascii="Arial" w:hAnsi="Arial" w:cs="Arial"/>
        </w:rPr>
        <w:t xml:space="preserve"> (scarsamente efficienti) a quote inferiori ai 300 metri, dal 1 ottobre al 31 marzo di ogni anno.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Buone pratiche agricole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Tra le misure riguardanti l’agricoltura, finanziate per oltre 53 milioni con il Programma di sviluppo rurale, rientrano la copertura delle </w:t>
      </w:r>
      <w:r w:rsidRPr="00436301">
        <w:rPr>
          <w:rFonts w:ascii="Arial" w:hAnsi="Arial" w:cs="Arial"/>
          <w:b/>
          <w:bCs/>
        </w:rPr>
        <w:t>vasche di stoccaggio</w:t>
      </w:r>
      <w:r w:rsidRPr="00436301">
        <w:rPr>
          <w:rFonts w:ascii="Arial" w:hAnsi="Arial" w:cs="Arial"/>
        </w:rPr>
        <w:t xml:space="preserve"> delle deiezioni, l'adeguamento delle strutture di ricovero degli animali, pratiche efficienti di distribuzione degli effluenti e modifiche della dieta degli animali.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Misure in materia di attività produttive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In caso di nuovi impianti produttivi o di ampliamenti consistenti, il </w:t>
      </w:r>
      <w:proofErr w:type="spellStart"/>
      <w:r w:rsidRPr="00436301">
        <w:rPr>
          <w:rFonts w:ascii="Arial" w:hAnsi="Arial" w:cs="Arial"/>
        </w:rPr>
        <w:t>Pair</w:t>
      </w:r>
      <w:proofErr w:type="spellEnd"/>
      <w:r w:rsidRPr="00436301">
        <w:rPr>
          <w:rFonts w:ascii="Arial" w:hAnsi="Arial" w:cs="Arial"/>
        </w:rPr>
        <w:t xml:space="preserve"> prevede il rispetto dei valori limite di emissione più bassi fra quelli di riferimento per la specifica tecnologia, e stabilisce un percorso di adeguamento progressivo alle </w:t>
      </w:r>
      <w:r w:rsidRPr="00436301">
        <w:rPr>
          <w:rFonts w:ascii="Arial" w:hAnsi="Arial" w:cs="Arial"/>
          <w:b/>
          <w:bCs/>
        </w:rPr>
        <w:t>migliori tecniche disponibili</w:t>
      </w:r>
      <w:r w:rsidRPr="00436301">
        <w:rPr>
          <w:rFonts w:ascii="Arial" w:hAnsi="Arial" w:cs="Arial"/>
        </w:rPr>
        <w:t xml:space="preserve"> per gli impianti esistenti nelle aree critiche per la qualità dell'aria.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 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Impatto emissivo sostenibile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Per i piani e i progetti sottoposti a procedura di Vas (Valutazione ambientale strategica) o Via (Valutazione impatto ambientale), il </w:t>
      </w:r>
      <w:proofErr w:type="spellStart"/>
      <w:r w:rsidRPr="00436301">
        <w:rPr>
          <w:rFonts w:ascii="Arial" w:hAnsi="Arial" w:cs="Arial"/>
        </w:rPr>
        <w:t>Pair</w:t>
      </w:r>
      <w:proofErr w:type="spellEnd"/>
      <w:r w:rsidRPr="00436301">
        <w:rPr>
          <w:rFonts w:ascii="Arial" w:hAnsi="Arial" w:cs="Arial"/>
        </w:rPr>
        <w:t xml:space="preserve"> stabilisce l’obbligo, da parte del proponente, di valutare le conseguenze in termini di emissioni di polveri sottili e ossidi di azoto e di individuare le eventuali misure aggiuntive idonee a compensare e/o mitigare l’effetto delle emissioni stesse per </w:t>
      </w:r>
      <w:r w:rsidRPr="00436301">
        <w:rPr>
          <w:rFonts w:ascii="Arial" w:hAnsi="Arial" w:cs="Arial"/>
          <w:b/>
          <w:bCs/>
        </w:rPr>
        <w:t>ridurne l’impatto al minimo</w:t>
      </w:r>
      <w:r w:rsidRPr="00436301">
        <w:rPr>
          <w:rFonts w:ascii="Arial" w:hAnsi="Arial" w:cs="Arial"/>
        </w:rPr>
        <w:t xml:space="preserve">. </w:t>
      </w:r>
    </w:p>
    <w:p w:rsidR="000114DF" w:rsidRPr="00436301" w:rsidRDefault="000114DF" w:rsidP="00134C16">
      <w:pPr>
        <w:jc w:val="both"/>
        <w:rPr>
          <w:rFonts w:ascii="Arial" w:hAnsi="Arial" w:cs="Arial"/>
        </w:rPr>
      </w:pPr>
      <w:r w:rsidRPr="00436301">
        <w:rPr>
          <w:rFonts w:ascii="Arial" w:hAnsi="Arial" w:cs="Arial"/>
        </w:rPr>
        <w:t> </w:t>
      </w:r>
    </w:p>
    <w:p w:rsidR="00D25463" w:rsidRPr="00436301" w:rsidRDefault="00D25463" w:rsidP="00134C16">
      <w:pPr>
        <w:jc w:val="both"/>
        <w:rPr>
          <w:rFonts w:ascii="Arial" w:hAnsi="Arial" w:cs="Arial"/>
          <w:b/>
        </w:rPr>
      </w:pPr>
      <w:r w:rsidRPr="00436301">
        <w:rPr>
          <w:rFonts w:ascii="Arial" w:hAnsi="Arial" w:cs="Arial"/>
          <w:b/>
        </w:rPr>
        <w:t>Acquisti verdi</w:t>
      </w:r>
    </w:p>
    <w:p w:rsidR="00D25463" w:rsidRPr="00436301" w:rsidRDefault="00D25463" w:rsidP="00134C16">
      <w:pPr>
        <w:jc w:val="both"/>
        <w:rPr>
          <w:rFonts w:ascii="Arial" w:hAnsi="Arial" w:cs="Arial"/>
        </w:rPr>
      </w:pPr>
      <w:r w:rsidRPr="00436301">
        <w:rPr>
          <w:rFonts w:ascii="Arial" w:hAnsi="Arial" w:cs="Arial"/>
        </w:rPr>
        <w:t xml:space="preserve">Raggiungere </w:t>
      </w:r>
      <w:r w:rsidRPr="00436301">
        <w:rPr>
          <w:rFonts w:ascii="Arial" w:hAnsi="Arial" w:cs="Arial"/>
          <w:b/>
          <w:bCs/>
        </w:rPr>
        <w:t>entro il 2018 il 50% di “acquisti verdi” di beni e servizi</w:t>
      </w:r>
      <w:r w:rsidRPr="00436301">
        <w:rPr>
          <w:rFonts w:ascii="Arial" w:hAnsi="Arial" w:cs="Arial"/>
        </w:rPr>
        <w:t xml:space="preserve"> da parte delle Pubbliche amministrazioni dell’Emilia-Romagna </w:t>
      </w:r>
      <w:r w:rsidR="00D56324" w:rsidRPr="00436301">
        <w:rPr>
          <w:rFonts w:ascii="Arial" w:hAnsi="Arial" w:cs="Arial"/>
        </w:rPr>
        <w:t>secondo quanto previsto nel</w:t>
      </w:r>
      <w:r w:rsidRPr="00436301">
        <w:rPr>
          <w:rFonts w:ascii="Arial" w:hAnsi="Arial" w:cs="Arial"/>
        </w:rPr>
        <w:t xml:space="preserve"> nuovo </w:t>
      </w:r>
      <w:r w:rsidRPr="00436301">
        <w:rPr>
          <w:rFonts w:ascii="Arial" w:hAnsi="Arial" w:cs="Arial"/>
          <w:b/>
          <w:bCs/>
        </w:rPr>
        <w:t>Piano sul Green Public Procurement</w:t>
      </w:r>
      <w:r w:rsidRPr="00436301">
        <w:rPr>
          <w:rFonts w:ascii="Arial" w:hAnsi="Arial" w:cs="Arial"/>
        </w:rPr>
        <w:t xml:space="preserve">. </w:t>
      </w:r>
    </w:p>
    <w:p w:rsidR="00D25463" w:rsidRPr="00436301" w:rsidRDefault="00D25463" w:rsidP="00134C16">
      <w:pPr>
        <w:jc w:val="both"/>
        <w:rPr>
          <w:rFonts w:ascii="Arial" w:hAnsi="Arial" w:cs="Arial"/>
          <w:bCs/>
        </w:rPr>
      </w:pP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  <w:b/>
          <w:bCs/>
        </w:rPr>
        <w:t>Misure emergenziali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Dal 1 ottobre al 31 marzo, </w:t>
      </w:r>
      <w:proofErr w:type="spellStart"/>
      <w:r w:rsidRPr="00436301">
        <w:rPr>
          <w:rFonts w:ascii="Arial" w:hAnsi="Arial" w:cs="Arial"/>
          <w:b/>
        </w:rPr>
        <w:t>Arpae</w:t>
      </w:r>
      <w:proofErr w:type="spellEnd"/>
      <w:r w:rsidRPr="00436301">
        <w:rPr>
          <w:rFonts w:ascii="Arial" w:hAnsi="Arial" w:cs="Arial"/>
        </w:rPr>
        <w:t xml:space="preserve"> eseguirà ogni lunedì e giovedì una verifica dei valori di concentrazione di pm10 e invierà ai sindaci una comunicazio</w:t>
      </w:r>
      <w:r w:rsidR="0070723A" w:rsidRPr="00436301">
        <w:rPr>
          <w:rFonts w:ascii="Arial" w:hAnsi="Arial" w:cs="Arial"/>
        </w:rPr>
        <w:t>ne nella quale viene evidenziato</w:t>
      </w:r>
      <w:r w:rsidRPr="00436301">
        <w:rPr>
          <w:rFonts w:ascii="Arial" w:hAnsi="Arial" w:cs="Arial"/>
        </w:rPr>
        <w:t xml:space="preserve"> l'eventuale verificarsi di condizioni che richiedono misure emergenziali. 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lastRenderedPageBreak/>
        <w:t xml:space="preserve">In caso di </w:t>
      </w:r>
      <w:r w:rsidRPr="00436301">
        <w:rPr>
          <w:rFonts w:ascii="Arial" w:hAnsi="Arial" w:cs="Arial"/>
          <w:b/>
          <w:bCs/>
        </w:rPr>
        <w:t>superamenti dei limiti per almeno 4 giorni</w:t>
      </w:r>
      <w:r w:rsidRPr="00436301">
        <w:rPr>
          <w:rFonts w:ascii="Arial" w:hAnsi="Arial" w:cs="Arial"/>
        </w:rPr>
        <w:t xml:space="preserve"> </w:t>
      </w:r>
      <w:r w:rsidRPr="00436301">
        <w:rPr>
          <w:rFonts w:ascii="Arial" w:hAnsi="Arial" w:cs="Arial"/>
          <w:b/>
          <w:bCs/>
        </w:rPr>
        <w:t>consecutivi</w:t>
      </w:r>
      <w:r w:rsidRPr="00436301">
        <w:rPr>
          <w:rFonts w:ascii="Arial" w:hAnsi="Arial" w:cs="Arial"/>
        </w:rPr>
        <w:t xml:space="preserve"> (e non più 7 come ora) scatterà automaticamente la limitazione alla circolazione fino al giorno di controllo successivo, dalle 8.30 alle 18.30, nelle province in cui si è verificato il superamento.</w:t>
      </w:r>
    </w:p>
    <w:p w:rsidR="000114DF" w:rsidRPr="00436301" w:rsidRDefault="000114DF" w:rsidP="00134C16">
      <w:pPr>
        <w:jc w:val="both"/>
      </w:pPr>
      <w:r w:rsidRPr="00436301">
        <w:rPr>
          <w:rFonts w:ascii="Arial" w:hAnsi="Arial" w:cs="Arial"/>
        </w:rPr>
        <w:t xml:space="preserve">Le </w:t>
      </w:r>
      <w:r w:rsidRPr="00436301">
        <w:rPr>
          <w:rFonts w:ascii="Arial" w:hAnsi="Arial" w:cs="Arial"/>
          <w:b/>
          <w:bCs/>
        </w:rPr>
        <w:t>limitazioni della circolazione</w:t>
      </w:r>
      <w:r w:rsidRPr="00436301">
        <w:rPr>
          <w:rFonts w:ascii="Arial" w:hAnsi="Arial" w:cs="Arial"/>
        </w:rPr>
        <w:t xml:space="preserve"> riguardano tutti i veicoli fino al </w:t>
      </w:r>
      <w:r w:rsidRPr="00436301">
        <w:rPr>
          <w:rFonts w:ascii="Arial" w:hAnsi="Arial" w:cs="Arial"/>
          <w:b/>
          <w:bCs/>
        </w:rPr>
        <w:t>diesel Euro 4</w:t>
      </w:r>
      <w:r w:rsidRPr="00436301">
        <w:rPr>
          <w:rFonts w:ascii="Arial" w:hAnsi="Arial" w:cs="Arial"/>
        </w:rPr>
        <w:t xml:space="preserve">. Altre misure previste nelle situazioni di emergenza sono la </w:t>
      </w:r>
      <w:r w:rsidRPr="00436301">
        <w:rPr>
          <w:rFonts w:ascii="Arial" w:hAnsi="Arial" w:cs="Arial"/>
          <w:b/>
          <w:bCs/>
        </w:rPr>
        <w:t>riduzione della temperatura di almeno 1 grado</w:t>
      </w:r>
      <w:r w:rsidRPr="00436301">
        <w:rPr>
          <w:rFonts w:ascii="Arial" w:hAnsi="Arial" w:cs="Arial"/>
        </w:rPr>
        <w:t xml:space="preserve"> negli ambienti di vita riscaldati e il potenziamento dei controlli sui veicoli circolanti.</w:t>
      </w:r>
    </w:p>
    <w:p w:rsidR="00003BCF" w:rsidRPr="00436301" w:rsidRDefault="00003BCF" w:rsidP="00134C16">
      <w:pPr>
        <w:jc w:val="both"/>
      </w:pPr>
    </w:p>
    <w:sectPr w:rsidR="00003BCF" w:rsidRPr="004363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32"/>
    <w:rsid w:val="00003BCF"/>
    <w:rsid w:val="000114DF"/>
    <w:rsid w:val="00043269"/>
    <w:rsid w:val="00051660"/>
    <w:rsid w:val="000857ED"/>
    <w:rsid w:val="00090A13"/>
    <w:rsid w:val="000D714E"/>
    <w:rsid w:val="000E0513"/>
    <w:rsid w:val="000F2B36"/>
    <w:rsid w:val="000F71E1"/>
    <w:rsid w:val="001125AF"/>
    <w:rsid w:val="001173A8"/>
    <w:rsid w:val="00126F60"/>
    <w:rsid w:val="00134C16"/>
    <w:rsid w:val="00136467"/>
    <w:rsid w:val="00137A83"/>
    <w:rsid w:val="001659B8"/>
    <w:rsid w:val="001A3CED"/>
    <w:rsid w:val="00214BDB"/>
    <w:rsid w:val="00220FA7"/>
    <w:rsid w:val="00237346"/>
    <w:rsid w:val="00263166"/>
    <w:rsid w:val="002679AA"/>
    <w:rsid w:val="00290343"/>
    <w:rsid w:val="00294E2C"/>
    <w:rsid w:val="00296101"/>
    <w:rsid w:val="002A50BF"/>
    <w:rsid w:val="002B2F8F"/>
    <w:rsid w:val="002B5FB7"/>
    <w:rsid w:val="002D4253"/>
    <w:rsid w:val="002D601F"/>
    <w:rsid w:val="00331722"/>
    <w:rsid w:val="00335775"/>
    <w:rsid w:val="00345878"/>
    <w:rsid w:val="00354360"/>
    <w:rsid w:val="003B76D1"/>
    <w:rsid w:val="003D2989"/>
    <w:rsid w:val="003D2DC3"/>
    <w:rsid w:val="003D50A8"/>
    <w:rsid w:val="003E5ED6"/>
    <w:rsid w:val="00404E29"/>
    <w:rsid w:val="004259F4"/>
    <w:rsid w:val="00436301"/>
    <w:rsid w:val="00457317"/>
    <w:rsid w:val="00492C8B"/>
    <w:rsid w:val="004F1994"/>
    <w:rsid w:val="004F54FC"/>
    <w:rsid w:val="00501381"/>
    <w:rsid w:val="00506D79"/>
    <w:rsid w:val="005220E9"/>
    <w:rsid w:val="00556CF1"/>
    <w:rsid w:val="005619E0"/>
    <w:rsid w:val="00562F51"/>
    <w:rsid w:val="00567225"/>
    <w:rsid w:val="00574AFE"/>
    <w:rsid w:val="005949DA"/>
    <w:rsid w:val="005956AC"/>
    <w:rsid w:val="005A010A"/>
    <w:rsid w:val="005A79F5"/>
    <w:rsid w:val="005B3FBD"/>
    <w:rsid w:val="005C4A7A"/>
    <w:rsid w:val="005C6EF1"/>
    <w:rsid w:val="005D037C"/>
    <w:rsid w:val="005E680C"/>
    <w:rsid w:val="005F2EA4"/>
    <w:rsid w:val="005F64EB"/>
    <w:rsid w:val="005F6A0A"/>
    <w:rsid w:val="00657B84"/>
    <w:rsid w:val="006D4D72"/>
    <w:rsid w:val="006D4DA7"/>
    <w:rsid w:val="006D5D9F"/>
    <w:rsid w:val="0070723A"/>
    <w:rsid w:val="00707533"/>
    <w:rsid w:val="00723308"/>
    <w:rsid w:val="00763D00"/>
    <w:rsid w:val="00773E5C"/>
    <w:rsid w:val="007B0137"/>
    <w:rsid w:val="007B35B0"/>
    <w:rsid w:val="008104EE"/>
    <w:rsid w:val="008D37D3"/>
    <w:rsid w:val="008D5CFC"/>
    <w:rsid w:val="008E1E04"/>
    <w:rsid w:val="008E3ED4"/>
    <w:rsid w:val="008F1F01"/>
    <w:rsid w:val="008F43D7"/>
    <w:rsid w:val="0094168B"/>
    <w:rsid w:val="00973FC3"/>
    <w:rsid w:val="009A084A"/>
    <w:rsid w:val="009A7E97"/>
    <w:rsid w:val="009C2FB0"/>
    <w:rsid w:val="009D1B32"/>
    <w:rsid w:val="009D63D7"/>
    <w:rsid w:val="009E04FE"/>
    <w:rsid w:val="009F7653"/>
    <w:rsid w:val="00A0580C"/>
    <w:rsid w:val="00A20841"/>
    <w:rsid w:val="00A3158A"/>
    <w:rsid w:val="00A554A8"/>
    <w:rsid w:val="00A57642"/>
    <w:rsid w:val="00A645BD"/>
    <w:rsid w:val="00A76400"/>
    <w:rsid w:val="00A87205"/>
    <w:rsid w:val="00AA06A7"/>
    <w:rsid w:val="00AA7970"/>
    <w:rsid w:val="00AE7075"/>
    <w:rsid w:val="00B02712"/>
    <w:rsid w:val="00B21490"/>
    <w:rsid w:val="00B30412"/>
    <w:rsid w:val="00B33E79"/>
    <w:rsid w:val="00B943F3"/>
    <w:rsid w:val="00BA2040"/>
    <w:rsid w:val="00BC3540"/>
    <w:rsid w:val="00BD73B4"/>
    <w:rsid w:val="00C23BB3"/>
    <w:rsid w:val="00C273D6"/>
    <w:rsid w:val="00C47402"/>
    <w:rsid w:val="00C72ACF"/>
    <w:rsid w:val="00CC18AA"/>
    <w:rsid w:val="00CC5ABE"/>
    <w:rsid w:val="00CD45BE"/>
    <w:rsid w:val="00CD5D22"/>
    <w:rsid w:val="00CE1A02"/>
    <w:rsid w:val="00D10D05"/>
    <w:rsid w:val="00D22018"/>
    <w:rsid w:val="00D25463"/>
    <w:rsid w:val="00D36953"/>
    <w:rsid w:val="00D53F68"/>
    <w:rsid w:val="00D5502C"/>
    <w:rsid w:val="00D56324"/>
    <w:rsid w:val="00D61EBA"/>
    <w:rsid w:val="00D6443E"/>
    <w:rsid w:val="00D73F2B"/>
    <w:rsid w:val="00E07882"/>
    <w:rsid w:val="00E131AF"/>
    <w:rsid w:val="00E2371A"/>
    <w:rsid w:val="00EB0A1C"/>
    <w:rsid w:val="00EB0E31"/>
    <w:rsid w:val="00F25D6E"/>
    <w:rsid w:val="00F4041A"/>
    <w:rsid w:val="00F47331"/>
    <w:rsid w:val="00F76F97"/>
    <w:rsid w:val="00F879F9"/>
    <w:rsid w:val="00FA1AB9"/>
    <w:rsid w:val="00FC7A2B"/>
    <w:rsid w:val="00FD03B0"/>
    <w:rsid w:val="00FD0D0C"/>
    <w:rsid w:val="00FE0B4D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DAE8E-CE43-4D15-9408-00C95432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D1B3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D1B3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B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B32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1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Zangrandi Filippo</dc:creator>
  <cp:keywords/>
  <dc:description/>
  <cp:lastModifiedBy>Galzigna Barbara</cp:lastModifiedBy>
  <cp:revision>2</cp:revision>
  <cp:lastPrinted>2017-01-10T08:56:00Z</cp:lastPrinted>
  <dcterms:created xsi:type="dcterms:W3CDTF">2017-01-10T12:33:00Z</dcterms:created>
  <dcterms:modified xsi:type="dcterms:W3CDTF">2017-01-10T12:33:00Z</dcterms:modified>
</cp:coreProperties>
</file>