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33" w:rsidRDefault="003C7833">
      <w:pPr>
        <w:pStyle w:val="Heading1"/>
        <w:rPr>
          <w:caps/>
          <w:sz w:val="22"/>
          <w:szCs w:val="22"/>
        </w:rPr>
      </w:pPr>
      <w:r>
        <w:rPr>
          <w:caps/>
          <w:sz w:val="22"/>
          <w:szCs w:val="22"/>
        </w:rPr>
        <w:t xml:space="preserve">RELAZIONE PER COMUNICATO STAMPA settembre 2014 </w:t>
      </w:r>
    </w:p>
    <w:p w:rsidR="003C7833" w:rsidRDefault="003C7833">
      <w:pPr>
        <w:pStyle w:val="Heading1"/>
        <w:rPr>
          <w:caps/>
          <w:sz w:val="22"/>
          <w:szCs w:val="22"/>
        </w:rPr>
      </w:pPr>
      <w:r>
        <w:rPr>
          <w:caps/>
          <w:sz w:val="22"/>
          <w:szCs w:val="22"/>
        </w:rPr>
        <w:t>LIMITAZIONI CIRCOLAZIONE 2014-2015</w:t>
      </w:r>
    </w:p>
    <w:p w:rsidR="003C7833" w:rsidRDefault="003C7833">
      <w:pPr>
        <w:rPr>
          <w:sz w:val="22"/>
          <w:szCs w:val="22"/>
        </w:rPr>
      </w:pPr>
    </w:p>
    <w:p w:rsidR="003C7833" w:rsidRDefault="003C7833">
      <w:pPr>
        <w:pStyle w:val="BodyText"/>
        <w:rPr>
          <w:sz w:val="22"/>
          <w:szCs w:val="22"/>
        </w:rPr>
      </w:pPr>
      <w:r>
        <w:rPr>
          <w:sz w:val="22"/>
          <w:szCs w:val="22"/>
        </w:rPr>
        <w:t>Dal 1° ottobre 2014 ripartiranno i provvedimenti di limitazione della circolazione previsti dall’Ordinanza n. 555/2012 in attuazione dell'Accordo di Programma 2012-2015 per la gestione della qualità dell'aria, che prevede in particolare:</w:t>
      </w:r>
    </w:p>
    <w:p w:rsidR="003C7833" w:rsidRDefault="003C7833">
      <w:pPr>
        <w:pStyle w:val="BodyText"/>
        <w:numPr>
          <w:ilvl w:val="0"/>
          <w:numId w:val="2"/>
        </w:numPr>
        <w:rPr>
          <w:sz w:val="22"/>
          <w:szCs w:val="22"/>
        </w:rPr>
      </w:pPr>
      <w:r>
        <w:rPr>
          <w:sz w:val="22"/>
          <w:szCs w:val="22"/>
        </w:rPr>
        <w:t>la limitazione della circolazione dal lunedì al venerdì dalle 8,30 alle 18,30 per i veicoli più inquinanti (benzina e diesel Euro 0, diesel Euro 1 ed Euro 2, ciclomotori e motocicli Euro 0);</w:t>
      </w:r>
    </w:p>
    <w:p w:rsidR="003C7833" w:rsidRDefault="003C7833">
      <w:pPr>
        <w:pStyle w:val="BodyText"/>
        <w:numPr>
          <w:ilvl w:val="0"/>
          <w:numId w:val="2"/>
        </w:numPr>
        <w:rPr>
          <w:sz w:val="22"/>
          <w:szCs w:val="22"/>
        </w:rPr>
      </w:pPr>
      <w:r>
        <w:rPr>
          <w:sz w:val="22"/>
          <w:szCs w:val="22"/>
        </w:rPr>
        <w:t>la limitazione generalizzata della circolazione il giovedì dalle 8,30 alle 18,30 (benzina e diesel Euro 0, Euro 1, Euro 2, Euro 3, ciclomotori e motocicli Euro 0 ed Euro 1);</w:t>
      </w:r>
    </w:p>
    <w:p w:rsidR="003C7833" w:rsidRDefault="003C7833">
      <w:pPr>
        <w:pStyle w:val="BodyText"/>
        <w:numPr>
          <w:ilvl w:val="0"/>
          <w:numId w:val="2"/>
        </w:numPr>
        <w:rPr>
          <w:sz w:val="22"/>
          <w:szCs w:val="22"/>
        </w:rPr>
      </w:pPr>
      <w:r>
        <w:rPr>
          <w:sz w:val="22"/>
          <w:szCs w:val="22"/>
        </w:rPr>
        <w:t>domeniche ecologiche (con le stesse limitazioni del giovedì) il 5 ottobre e il 2 novembre 2014, l’11 gennaio, il 1° febbraio e il 1° marzo 2015.</w:t>
      </w:r>
    </w:p>
    <w:p w:rsidR="003C7833" w:rsidRDefault="003C7833">
      <w:pPr>
        <w:pStyle w:val="BodyText"/>
        <w:rPr>
          <w:sz w:val="22"/>
          <w:szCs w:val="22"/>
        </w:rPr>
      </w:pPr>
      <w:r>
        <w:rPr>
          <w:sz w:val="22"/>
          <w:szCs w:val="22"/>
        </w:rPr>
        <w:t>Di seguito le misure sopra citate sono riportate nel dettaglio.</w:t>
      </w:r>
    </w:p>
    <w:p w:rsidR="003C7833" w:rsidRDefault="003C7833">
      <w:pPr>
        <w:pStyle w:val="BodyText"/>
        <w:rPr>
          <w:rStyle w:val="CollegamentoInternet"/>
          <w:sz w:val="22"/>
          <w:szCs w:val="22"/>
        </w:rPr>
      </w:pPr>
      <w:r>
        <w:rPr>
          <w:sz w:val="22"/>
          <w:szCs w:val="22"/>
        </w:rPr>
        <w:t xml:space="preserve">E’ possibile risalire alla categoria Euro del proprio veicolo a partire dalla targa o dall’indicazione della direttiva riportata sul libretto di circolazione, consultando il sito internet </w:t>
      </w:r>
      <w:hyperlink r:id="rId5">
        <w:r>
          <w:rPr>
            <w:rStyle w:val="CollegamentoInternet"/>
            <w:sz w:val="22"/>
            <w:szCs w:val="22"/>
          </w:rPr>
          <w:t>http://servizi.aci.it/AciTipoEuroWeb/</w:t>
        </w:r>
      </w:hyperlink>
    </w:p>
    <w:p w:rsidR="003C7833" w:rsidRDefault="003C7833">
      <w:pPr>
        <w:rPr>
          <w:sz w:val="22"/>
          <w:szCs w:val="22"/>
        </w:rPr>
      </w:pPr>
    </w:p>
    <w:p w:rsidR="003C7833" w:rsidRDefault="003C7833">
      <w:pPr>
        <w:rPr>
          <w:sz w:val="22"/>
          <w:szCs w:val="22"/>
        </w:rPr>
      </w:pPr>
    </w:p>
    <w:p w:rsidR="003C7833" w:rsidRDefault="003C7833">
      <w:pPr>
        <w:pStyle w:val="Heading1"/>
        <w:rPr>
          <w:caps/>
          <w:sz w:val="22"/>
          <w:szCs w:val="22"/>
        </w:rPr>
      </w:pPr>
    </w:p>
    <w:p w:rsidR="003C7833" w:rsidRDefault="003C7833">
      <w:pPr>
        <w:pStyle w:val="Heading1"/>
        <w:rPr>
          <w:caps/>
          <w:sz w:val="22"/>
          <w:szCs w:val="22"/>
        </w:rPr>
      </w:pPr>
      <w:r>
        <w:rPr>
          <w:caps/>
          <w:sz w:val="22"/>
          <w:szCs w:val="22"/>
        </w:rPr>
        <w:t xml:space="preserve">Provvedimenti di limitazione della circolazione </w:t>
      </w:r>
    </w:p>
    <w:p w:rsidR="003C7833" w:rsidRDefault="003C7833">
      <w:pPr>
        <w:autoSpaceDE w:val="0"/>
        <w:jc w:val="center"/>
        <w:rPr>
          <w:rFonts w:ascii="Arial" w:hAnsi="Arial" w:cs="Arial"/>
          <w:sz w:val="22"/>
          <w:szCs w:val="22"/>
        </w:rPr>
      </w:pPr>
      <w:r>
        <w:rPr>
          <w:rFonts w:ascii="Arial" w:hAnsi="Arial" w:cs="Arial"/>
          <w:b/>
          <w:bCs/>
          <w:sz w:val="22"/>
          <w:szCs w:val="22"/>
        </w:rPr>
        <w:t xml:space="preserve"> dal 1 ottobre al 31 marzo dal lunedì al venerdì dalle 08.30 alle 18.30</w:t>
      </w:r>
      <w:r>
        <w:rPr>
          <w:rFonts w:ascii="Arial" w:hAnsi="Arial" w:cs="Arial"/>
          <w:sz w:val="22"/>
          <w:szCs w:val="22"/>
        </w:rPr>
        <w:t>:</w:t>
      </w:r>
    </w:p>
    <w:p w:rsidR="003C7833" w:rsidRDefault="003C7833">
      <w:pPr>
        <w:autoSpaceDE w:val="0"/>
        <w:spacing w:before="120" w:after="120"/>
        <w:ind w:left="357" w:hanging="357"/>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veicoli a benzina precedenti all’Euro 1</w:t>
      </w:r>
      <w:r>
        <w:rPr>
          <w:rFonts w:ascii="Arial" w:hAnsi="Arial" w:cs="Arial"/>
          <w:sz w:val="22"/>
          <w:szCs w:val="22"/>
        </w:rPr>
        <w:t xml:space="preserve"> (non omologati ai sensi della direttiva 91/441 o immatricolati prima del 31/12/1992);</w:t>
      </w:r>
    </w:p>
    <w:p w:rsidR="003C7833" w:rsidRDefault="003C7833">
      <w:pPr>
        <w:autoSpaceDE w:val="0"/>
        <w:spacing w:before="120" w:after="120"/>
        <w:ind w:left="357" w:hanging="357"/>
        <w:jc w:val="both"/>
        <w:rPr>
          <w:rFonts w:ascii="Arial" w:hAnsi="Arial" w:cs="Arial"/>
          <w:sz w:val="22"/>
          <w:szCs w:val="22"/>
        </w:rPr>
      </w:pPr>
      <w:r>
        <w:rPr>
          <w:rFonts w:ascii="Arial" w:hAnsi="Arial" w:cs="Arial"/>
          <w:sz w:val="22"/>
          <w:szCs w:val="22"/>
        </w:rPr>
        <w:t xml:space="preserve">b) </w:t>
      </w:r>
      <w:r>
        <w:rPr>
          <w:rFonts w:ascii="Arial" w:hAnsi="Arial" w:cs="Arial"/>
          <w:b/>
          <w:bCs/>
          <w:sz w:val="22"/>
          <w:szCs w:val="22"/>
        </w:rPr>
        <w:t>veicoli diesel precedenti all’Euro 2</w:t>
      </w:r>
      <w:r>
        <w:rPr>
          <w:rFonts w:ascii="Arial" w:hAnsi="Arial" w:cs="Arial"/>
          <w:sz w:val="22"/>
          <w:szCs w:val="22"/>
        </w:rPr>
        <w:t>;</w:t>
      </w:r>
    </w:p>
    <w:p w:rsidR="003C7833" w:rsidRDefault="003C7833">
      <w:pPr>
        <w:pStyle w:val="BodyText2"/>
        <w:autoSpaceDE w:val="0"/>
        <w:spacing w:before="120" w:after="120"/>
        <w:ind w:left="357" w:hanging="357"/>
        <w:jc w:val="both"/>
        <w:rPr>
          <w:rFonts w:ascii="Arial" w:hAnsi="Arial" w:cs="Arial"/>
          <w:sz w:val="22"/>
          <w:szCs w:val="22"/>
        </w:rPr>
      </w:pPr>
      <w:r>
        <w:rPr>
          <w:rFonts w:ascii="Arial" w:hAnsi="Arial" w:cs="Arial"/>
          <w:sz w:val="22"/>
          <w:szCs w:val="22"/>
        </w:rPr>
        <w:t xml:space="preserve">c) </w:t>
      </w:r>
      <w:r>
        <w:rPr>
          <w:rFonts w:ascii="Arial" w:hAnsi="Arial" w:cs="Arial"/>
          <w:b/>
          <w:bCs/>
          <w:sz w:val="22"/>
          <w:szCs w:val="22"/>
        </w:rPr>
        <w:t xml:space="preserve">autoveicoli diesel Euro 2 </w:t>
      </w:r>
      <w:r>
        <w:rPr>
          <w:rFonts w:ascii="Arial" w:hAnsi="Arial" w:cs="Arial"/>
          <w:b/>
          <w:bCs/>
          <w:sz w:val="22"/>
          <w:szCs w:val="22"/>
          <w:u w:val="single"/>
        </w:rPr>
        <w:t>NON DOTATI</w:t>
      </w:r>
      <w:r>
        <w:rPr>
          <w:rFonts w:ascii="Arial" w:hAnsi="Arial" w:cs="Arial"/>
          <w:b/>
          <w:bCs/>
          <w:sz w:val="22"/>
          <w:szCs w:val="22"/>
        </w:rPr>
        <w:t xml:space="preserve"> di sistema di riduzione della massa di particolato</w:t>
      </w:r>
      <w:r>
        <w:rPr>
          <w:rFonts w:ascii="Arial" w:hAnsi="Arial" w:cs="Arial"/>
          <w:sz w:val="22"/>
          <w:szCs w:val="22"/>
        </w:rPr>
        <w:t>;</w:t>
      </w:r>
    </w:p>
    <w:p w:rsidR="003C7833" w:rsidRDefault="003C7833">
      <w:pPr>
        <w:autoSpaceDE w:val="0"/>
        <w:spacing w:before="120" w:after="120"/>
        <w:ind w:left="357" w:hanging="357"/>
        <w:rPr>
          <w:rFonts w:ascii="Arial" w:hAnsi="Arial" w:cs="Arial"/>
          <w:sz w:val="22"/>
          <w:szCs w:val="22"/>
        </w:rPr>
      </w:pPr>
      <w:r>
        <w:rPr>
          <w:rFonts w:ascii="Arial" w:hAnsi="Arial" w:cs="Arial"/>
          <w:sz w:val="22"/>
          <w:szCs w:val="22"/>
        </w:rPr>
        <w:t xml:space="preserve">d) </w:t>
      </w:r>
      <w:r>
        <w:rPr>
          <w:rFonts w:ascii="Arial" w:hAnsi="Arial" w:cs="Arial"/>
          <w:b/>
          <w:bCs/>
          <w:sz w:val="22"/>
          <w:szCs w:val="22"/>
        </w:rPr>
        <w:t>ciclomotori e dei motocicli a due tempi precedenti alla normativa Euro 1</w:t>
      </w:r>
      <w:r>
        <w:rPr>
          <w:rFonts w:ascii="Arial" w:hAnsi="Arial" w:cs="Arial"/>
          <w:sz w:val="22"/>
          <w:szCs w:val="22"/>
        </w:rPr>
        <w:t xml:space="preserve"> (non omologati ai sensi della direttiva 97/24CE);</w:t>
      </w:r>
    </w:p>
    <w:p w:rsidR="003C7833" w:rsidRDefault="003C7833">
      <w:pPr>
        <w:pStyle w:val="BodyText2"/>
        <w:autoSpaceDE w:val="0"/>
        <w:spacing w:before="120" w:after="120"/>
        <w:ind w:left="357" w:hanging="357"/>
        <w:jc w:val="both"/>
        <w:rPr>
          <w:rFonts w:ascii="Arial" w:hAnsi="Arial" w:cs="Arial"/>
          <w:sz w:val="22"/>
          <w:szCs w:val="22"/>
        </w:rPr>
      </w:pPr>
      <w:r>
        <w:rPr>
          <w:rFonts w:ascii="Arial" w:hAnsi="Arial" w:cs="Arial"/>
          <w:sz w:val="22"/>
          <w:szCs w:val="22"/>
        </w:rPr>
        <w:t xml:space="preserve">e) </w:t>
      </w:r>
      <w:r>
        <w:rPr>
          <w:rFonts w:ascii="Arial" w:hAnsi="Arial" w:cs="Arial"/>
          <w:b/>
          <w:bCs/>
          <w:sz w:val="22"/>
          <w:szCs w:val="22"/>
        </w:rPr>
        <w:t>veicoli diesel di tipo M2</w:t>
      </w:r>
      <w:r>
        <w:rPr>
          <w:rFonts w:ascii="Arial" w:hAnsi="Arial" w:cs="Arial"/>
          <w:sz w:val="22"/>
          <w:szCs w:val="22"/>
        </w:rPr>
        <w:t xml:space="preserve"> (</w:t>
      </w:r>
      <w:r>
        <w:rPr>
          <w:rFonts w:ascii="Arial" w:hAnsi="Arial" w:cs="Arial"/>
          <w:color w:val="000000"/>
          <w:sz w:val="22"/>
          <w:szCs w:val="22"/>
          <w:shd w:val="clear" w:color="auto" w:fill="FFFFFF"/>
        </w:rPr>
        <w:t>veicoli destinati al trasporto di persone, aventi più di otto posti a sedere oltre al sedile del conducente e massa massima non superiore a 5 t)</w:t>
      </w:r>
      <w:r>
        <w:rPr>
          <w:rFonts w:ascii="Arial" w:hAnsi="Arial" w:cs="Arial"/>
          <w:sz w:val="22"/>
          <w:szCs w:val="22"/>
        </w:rPr>
        <w:t xml:space="preserve">, </w:t>
      </w:r>
      <w:r>
        <w:rPr>
          <w:rFonts w:ascii="Arial" w:hAnsi="Arial" w:cs="Arial"/>
          <w:b/>
          <w:bCs/>
          <w:sz w:val="22"/>
          <w:szCs w:val="22"/>
        </w:rPr>
        <w:t>M3</w:t>
      </w:r>
      <w:r>
        <w:rPr>
          <w:rFonts w:ascii="Arial" w:hAnsi="Arial" w:cs="Arial"/>
          <w:sz w:val="22"/>
          <w:szCs w:val="22"/>
        </w:rPr>
        <w:t xml:space="preserve"> (</w:t>
      </w:r>
      <w:r>
        <w:rPr>
          <w:rFonts w:ascii="Arial" w:hAnsi="Arial" w:cs="Arial"/>
          <w:color w:val="000000"/>
          <w:sz w:val="22"/>
          <w:szCs w:val="22"/>
          <w:shd w:val="clear" w:color="auto" w:fill="FFFFFF"/>
        </w:rPr>
        <w:t>veicoli destinati al trasporto di persone, aventi più di otto posti a sedere oltre al sedile del conducente e massa massima superiore a 5 t)</w:t>
      </w:r>
      <w:r>
        <w:rPr>
          <w:rFonts w:ascii="Arial" w:hAnsi="Arial" w:cs="Arial"/>
          <w:sz w:val="22"/>
          <w:szCs w:val="22"/>
        </w:rPr>
        <w:t xml:space="preserve">, </w:t>
      </w:r>
      <w:r>
        <w:rPr>
          <w:rFonts w:ascii="Arial" w:hAnsi="Arial" w:cs="Arial"/>
          <w:b/>
          <w:bCs/>
          <w:sz w:val="22"/>
          <w:szCs w:val="22"/>
        </w:rPr>
        <w:t>N1</w:t>
      </w:r>
      <w:r>
        <w:rPr>
          <w:rFonts w:ascii="Arial" w:hAnsi="Arial" w:cs="Arial"/>
          <w:sz w:val="22"/>
          <w:szCs w:val="22"/>
        </w:rPr>
        <w:t xml:space="preserve"> (</w:t>
      </w:r>
      <w:r>
        <w:rPr>
          <w:rFonts w:ascii="Arial" w:hAnsi="Arial" w:cs="Arial"/>
          <w:color w:val="000000"/>
          <w:sz w:val="22"/>
          <w:szCs w:val="22"/>
          <w:shd w:val="clear" w:color="auto" w:fill="FFFFFF"/>
        </w:rPr>
        <w:t>veicoli destinati al trasporto di merci, aventi massa massima non superiore a 3,5 t)</w:t>
      </w:r>
      <w:r>
        <w:rPr>
          <w:rFonts w:ascii="Arial" w:hAnsi="Arial" w:cs="Arial"/>
          <w:sz w:val="22"/>
          <w:szCs w:val="22"/>
        </w:rPr>
        <w:t xml:space="preserve">, </w:t>
      </w:r>
      <w:r>
        <w:rPr>
          <w:rFonts w:ascii="Arial" w:hAnsi="Arial" w:cs="Arial"/>
          <w:b/>
          <w:bCs/>
          <w:sz w:val="22"/>
          <w:szCs w:val="22"/>
        </w:rPr>
        <w:t>N2</w:t>
      </w:r>
      <w:r>
        <w:rPr>
          <w:rFonts w:ascii="Arial" w:hAnsi="Arial" w:cs="Arial"/>
          <w:sz w:val="22"/>
          <w:szCs w:val="22"/>
        </w:rPr>
        <w:t xml:space="preserve"> (</w:t>
      </w:r>
      <w:r>
        <w:rPr>
          <w:rFonts w:ascii="Arial" w:hAnsi="Arial" w:cs="Arial"/>
          <w:color w:val="000000"/>
          <w:sz w:val="22"/>
          <w:szCs w:val="22"/>
          <w:shd w:val="clear" w:color="auto" w:fill="FFFFFF"/>
        </w:rPr>
        <w:t>veicoli destinati al trasporto di merci, aventi massa massima superiore a 3,5 t ma non superiore a 12 t)</w:t>
      </w:r>
      <w:r>
        <w:rPr>
          <w:rFonts w:ascii="Arial" w:hAnsi="Arial" w:cs="Arial"/>
          <w:sz w:val="22"/>
          <w:szCs w:val="22"/>
        </w:rPr>
        <w:t xml:space="preserve"> o </w:t>
      </w:r>
      <w:r>
        <w:rPr>
          <w:rFonts w:ascii="Arial" w:hAnsi="Arial" w:cs="Arial"/>
          <w:b/>
          <w:bCs/>
          <w:sz w:val="22"/>
          <w:szCs w:val="22"/>
        </w:rPr>
        <w:t>N3</w:t>
      </w:r>
      <w:r>
        <w:rPr>
          <w:rFonts w:ascii="Arial" w:hAnsi="Arial" w:cs="Arial"/>
          <w:sz w:val="22"/>
          <w:szCs w:val="22"/>
        </w:rPr>
        <w:t xml:space="preserve"> (</w:t>
      </w:r>
      <w:r>
        <w:rPr>
          <w:rFonts w:ascii="Arial" w:hAnsi="Arial" w:cs="Arial"/>
          <w:color w:val="000000"/>
          <w:sz w:val="22"/>
          <w:szCs w:val="22"/>
          <w:shd w:val="clear" w:color="auto" w:fill="FFFFFF"/>
        </w:rPr>
        <w:t xml:space="preserve">veicoli destinati al trasporto di merci, aventi massa massima superiore a 12 t) </w:t>
      </w:r>
      <w:r>
        <w:rPr>
          <w:rFonts w:ascii="Arial" w:hAnsi="Arial" w:cs="Arial"/>
          <w:b/>
          <w:bCs/>
          <w:sz w:val="22"/>
          <w:szCs w:val="22"/>
        </w:rPr>
        <w:t>precedenti all’Euro 3</w:t>
      </w:r>
      <w:r>
        <w:rPr>
          <w:rFonts w:ascii="Arial" w:hAnsi="Arial" w:cs="Arial"/>
          <w:sz w:val="22"/>
          <w:szCs w:val="22"/>
        </w:rPr>
        <w:t>, ovvero non dotati di sistema di riduzione della massa di particolato con marchio di omologazione e inquadrabili, ai fini dell’inquinamento da massa di particolato, quali Euro 3 o categoria superiore.</w:t>
      </w:r>
    </w:p>
    <w:p w:rsidR="003C7833" w:rsidRDefault="003C7833">
      <w:pPr>
        <w:autoSpaceDE w:val="0"/>
        <w:rPr>
          <w:rFonts w:ascii="Arial" w:hAnsi="Arial" w:cs="Arial"/>
          <w:sz w:val="22"/>
          <w:szCs w:val="22"/>
        </w:rPr>
      </w:pPr>
    </w:p>
    <w:p w:rsidR="003C7833" w:rsidRDefault="003C7833">
      <w:pPr>
        <w:pStyle w:val="Heading1"/>
        <w:rPr>
          <w:caps/>
          <w:sz w:val="22"/>
          <w:szCs w:val="22"/>
        </w:rPr>
      </w:pPr>
    </w:p>
    <w:p w:rsidR="003C7833" w:rsidRDefault="003C7833">
      <w:pPr>
        <w:pStyle w:val="Heading1"/>
        <w:rPr>
          <w:caps/>
          <w:sz w:val="22"/>
          <w:szCs w:val="22"/>
        </w:rPr>
      </w:pPr>
      <w:r>
        <w:rPr>
          <w:caps/>
          <w:sz w:val="22"/>
          <w:szCs w:val="22"/>
        </w:rPr>
        <w:t xml:space="preserve">Provvedimenti di limitazione della circolazione </w:t>
      </w:r>
    </w:p>
    <w:p w:rsidR="003C7833" w:rsidRDefault="003C7833">
      <w:pPr>
        <w:pStyle w:val="Heading1"/>
        <w:rPr>
          <w:sz w:val="22"/>
          <w:szCs w:val="22"/>
        </w:rPr>
      </w:pPr>
      <w:r>
        <w:rPr>
          <w:sz w:val="22"/>
          <w:szCs w:val="22"/>
        </w:rPr>
        <w:t>dal 1 ottobre al 30 novembre e dal 7 gennaio al 31 marzo il giovedì dalle 08.30 alle 18.30 (e domeniche ecologiche 5 ottobre, 2 novembre 2014, 11 gennaio,  1° febbraio, 1° marzo 2015)</w:t>
      </w:r>
    </w:p>
    <w:p w:rsidR="003C7833" w:rsidRDefault="003C7833">
      <w:pPr>
        <w:autoSpaceDE w:val="0"/>
        <w:jc w:val="center"/>
        <w:rPr>
          <w:rFonts w:ascii="Arial" w:hAnsi="Arial" w:cs="Arial"/>
          <w:b/>
          <w:bCs/>
          <w:sz w:val="22"/>
          <w:szCs w:val="22"/>
        </w:rPr>
      </w:pPr>
      <w:r>
        <w:rPr>
          <w:rFonts w:ascii="Arial" w:hAnsi="Arial" w:cs="Arial"/>
          <w:b/>
          <w:bCs/>
          <w:sz w:val="22"/>
          <w:szCs w:val="22"/>
        </w:rPr>
        <w:t>ANCHE alle seguenti tipologie di veicoli:</w:t>
      </w:r>
    </w:p>
    <w:p w:rsidR="003C7833" w:rsidRDefault="003C7833">
      <w:pPr>
        <w:autoSpaceDE w:val="0"/>
        <w:spacing w:before="120" w:after="120"/>
        <w:rPr>
          <w:rFonts w:ascii="Arial" w:hAnsi="Arial" w:cs="Arial"/>
          <w:sz w:val="22"/>
          <w:szCs w:val="22"/>
        </w:rPr>
      </w:pPr>
      <w:r>
        <w:rPr>
          <w:rFonts w:ascii="Arial" w:hAnsi="Arial" w:cs="Arial"/>
          <w:sz w:val="22"/>
          <w:szCs w:val="22"/>
        </w:rPr>
        <w:t xml:space="preserve">a) </w:t>
      </w:r>
      <w:r>
        <w:rPr>
          <w:rFonts w:ascii="Arial" w:hAnsi="Arial" w:cs="Arial"/>
          <w:b/>
          <w:bCs/>
          <w:sz w:val="22"/>
          <w:szCs w:val="22"/>
        </w:rPr>
        <w:t>autoveicoli benzina Euro 1, Euro 2 e Euro 3</w:t>
      </w:r>
      <w:r>
        <w:rPr>
          <w:rFonts w:ascii="Arial" w:hAnsi="Arial" w:cs="Arial"/>
          <w:sz w:val="22"/>
          <w:szCs w:val="22"/>
        </w:rPr>
        <w:t>;</w:t>
      </w:r>
    </w:p>
    <w:p w:rsidR="003C7833" w:rsidRDefault="003C7833">
      <w:pPr>
        <w:autoSpaceDE w:val="0"/>
        <w:spacing w:before="120" w:after="120"/>
        <w:rPr>
          <w:rFonts w:ascii="Arial" w:hAnsi="Arial" w:cs="Arial"/>
          <w:sz w:val="22"/>
          <w:szCs w:val="22"/>
        </w:rPr>
      </w:pPr>
      <w:r>
        <w:rPr>
          <w:rFonts w:ascii="Arial" w:hAnsi="Arial" w:cs="Arial"/>
          <w:sz w:val="22"/>
          <w:szCs w:val="22"/>
        </w:rPr>
        <w:t xml:space="preserve">b) </w:t>
      </w:r>
      <w:r>
        <w:rPr>
          <w:rFonts w:ascii="Arial" w:hAnsi="Arial" w:cs="Arial"/>
          <w:b/>
          <w:bCs/>
          <w:sz w:val="22"/>
          <w:szCs w:val="22"/>
        </w:rPr>
        <w:t>autoveicoli diesel Euro 3</w:t>
      </w:r>
      <w:r>
        <w:rPr>
          <w:rFonts w:ascii="Arial" w:hAnsi="Arial" w:cs="Arial"/>
          <w:sz w:val="22"/>
          <w:szCs w:val="22"/>
        </w:rPr>
        <w:t xml:space="preserve"> (non dotati di sistemi di riduzione della massa di particolato);</w:t>
      </w:r>
    </w:p>
    <w:p w:rsidR="003C7833" w:rsidRDefault="003C7833">
      <w:pPr>
        <w:autoSpaceDE w:val="0"/>
        <w:spacing w:before="120" w:after="120"/>
        <w:rPr>
          <w:rFonts w:ascii="Arial" w:hAnsi="Arial" w:cs="Arial"/>
          <w:sz w:val="22"/>
          <w:szCs w:val="22"/>
        </w:rPr>
      </w:pPr>
      <w:r>
        <w:rPr>
          <w:rFonts w:ascii="Arial" w:hAnsi="Arial" w:cs="Arial"/>
          <w:sz w:val="22"/>
          <w:szCs w:val="22"/>
        </w:rPr>
        <w:t xml:space="preserve">c) </w:t>
      </w:r>
      <w:r>
        <w:rPr>
          <w:rFonts w:ascii="Arial" w:hAnsi="Arial" w:cs="Arial"/>
          <w:b/>
          <w:bCs/>
          <w:sz w:val="22"/>
          <w:szCs w:val="22"/>
        </w:rPr>
        <w:t>ciclomotori e motocicli Euro 1</w:t>
      </w:r>
      <w:r>
        <w:rPr>
          <w:rFonts w:ascii="Arial" w:hAnsi="Arial" w:cs="Arial"/>
          <w:sz w:val="22"/>
          <w:szCs w:val="22"/>
        </w:rPr>
        <w:t>.</w:t>
      </w:r>
    </w:p>
    <w:p w:rsidR="003C7833" w:rsidRDefault="003C7833">
      <w:pPr>
        <w:rPr>
          <w:rFonts w:ascii="Arial" w:hAnsi="Arial" w:cs="Arial"/>
          <w:b/>
          <w:bCs/>
          <w:sz w:val="22"/>
          <w:szCs w:val="22"/>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6" type="#_x0000_t75" style="position:absolute;margin-left:10.3pt;margin-top:6.1pt;width:524.5pt;height:202.35pt;z-index:251658240;visibility:visible;mso-wrap-distance-left:0;mso-wrap-distance-right:0">
            <v:imagedata r:id="rId6" o:title=""/>
            <w10:wrap type="square"/>
          </v:shape>
        </w:pict>
      </w:r>
    </w:p>
    <w:p w:rsidR="003C7833" w:rsidRDefault="003C7833">
      <w:pPr>
        <w:rPr>
          <w:rFonts w:ascii="Arial" w:hAnsi="Arial" w:cs="Arial"/>
          <w:b/>
          <w:bCs/>
          <w:sz w:val="22"/>
          <w:szCs w:val="22"/>
        </w:rPr>
      </w:pPr>
    </w:p>
    <w:p w:rsidR="003C7833" w:rsidRDefault="003C7833">
      <w:pPr>
        <w:rPr>
          <w:rFonts w:ascii="Arial" w:hAnsi="Arial" w:cs="Arial"/>
          <w:b/>
          <w:bCs/>
          <w:sz w:val="22"/>
          <w:szCs w:val="22"/>
        </w:rPr>
      </w:pPr>
    </w:p>
    <w:p w:rsidR="003C7833" w:rsidRDefault="003C7833">
      <w:pPr>
        <w:pStyle w:val="Heading1"/>
        <w:rPr>
          <w:caps/>
          <w:sz w:val="22"/>
          <w:szCs w:val="22"/>
        </w:rPr>
      </w:pPr>
      <w:r>
        <w:rPr>
          <w:caps/>
          <w:sz w:val="22"/>
          <w:szCs w:val="22"/>
        </w:rPr>
        <w:t>Misure emergenziali</w:t>
      </w:r>
    </w:p>
    <w:p w:rsidR="003C7833" w:rsidRPr="00106216" w:rsidRDefault="003C7833" w:rsidP="00106216"/>
    <w:p w:rsidR="003C7833" w:rsidRDefault="003C7833">
      <w:pPr>
        <w:autoSpaceDE w:val="0"/>
        <w:jc w:val="both"/>
        <w:rPr>
          <w:rFonts w:ascii="Arial" w:hAnsi="Arial" w:cs="Arial"/>
          <w:sz w:val="22"/>
          <w:szCs w:val="22"/>
        </w:rPr>
      </w:pPr>
      <w:r>
        <w:rPr>
          <w:rFonts w:ascii="Arial" w:hAnsi="Arial" w:cs="Arial"/>
          <w:sz w:val="22"/>
          <w:szCs w:val="22"/>
        </w:rPr>
        <w:t xml:space="preserve">Si prevede un meccanismo automatico concordato per l’attivazione di misure emergenziali, in caso di picchi di inquinamento che comportino lo sforamento del valore limite giornaliero per più di </w:t>
      </w:r>
      <w:r>
        <w:rPr>
          <w:rFonts w:ascii="Arial" w:hAnsi="Arial" w:cs="Arial"/>
          <w:b/>
          <w:bCs/>
          <w:sz w:val="22"/>
          <w:szCs w:val="22"/>
        </w:rPr>
        <w:t>7 giorni consecutivi</w:t>
      </w:r>
      <w:r>
        <w:rPr>
          <w:rFonts w:ascii="Arial" w:hAnsi="Arial" w:cs="Arial"/>
          <w:sz w:val="22"/>
          <w:szCs w:val="22"/>
        </w:rPr>
        <w:t xml:space="preserve">. </w:t>
      </w:r>
    </w:p>
    <w:p w:rsidR="003C7833" w:rsidRDefault="003C7833">
      <w:pPr>
        <w:autoSpaceDE w:val="0"/>
        <w:jc w:val="both"/>
        <w:rPr>
          <w:rFonts w:ascii="Arial" w:hAnsi="Arial" w:cs="Arial"/>
          <w:sz w:val="22"/>
          <w:szCs w:val="22"/>
        </w:rPr>
      </w:pPr>
      <w:r>
        <w:rPr>
          <w:rFonts w:ascii="Arial" w:hAnsi="Arial" w:cs="Arial"/>
          <w:sz w:val="22"/>
          <w:szCs w:val="22"/>
        </w:rPr>
        <w:t xml:space="preserve">Le misure emergenziali trovano applicazione nel periodo dal </w:t>
      </w:r>
      <w:r>
        <w:rPr>
          <w:rFonts w:ascii="Arial" w:hAnsi="Arial" w:cs="Arial"/>
          <w:b/>
          <w:bCs/>
          <w:sz w:val="22"/>
          <w:szCs w:val="22"/>
        </w:rPr>
        <w:t>1 ottobre al 31 marzo</w:t>
      </w:r>
      <w:r>
        <w:rPr>
          <w:rFonts w:ascii="Arial" w:hAnsi="Arial" w:cs="Arial"/>
          <w:sz w:val="22"/>
          <w:szCs w:val="22"/>
        </w:rPr>
        <w:t>, senza sospensione per il periodo 1 dicembre – 6 gennaio.</w:t>
      </w:r>
    </w:p>
    <w:p w:rsidR="003C7833" w:rsidRDefault="003C7833">
      <w:pPr>
        <w:autoSpaceDE w:val="0"/>
        <w:jc w:val="both"/>
        <w:rPr>
          <w:rFonts w:ascii="Arial" w:hAnsi="Arial" w:cs="Arial"/>
          <w:sz w:val="22"/>
          <w:szCs w:val="22"/>
        </w:rPr>
      </w:pPr>
      <w:r>
        <w:rPr>
          <w:rFonts w:ascii="Arial" w:hAnsi="Arial" w:cs="Arial"/>
          <w:sz w:val="22"/>
          <w:szCs w:val="22"/>
        </w:rPr>
        <w:t xml:space="preserve">Se in seguito alle verifiche effettuate da ARPA </w:t>
      </w:r>
      <w:r>
        <w:rPr>
          <w:rFonts w:ascii="Arial" w:hAnsi="Arial" w:cs="Arial"/>
          <w:b/>
          <w:bCs/>
          <w:sz w:val="22"/>
          <w:szCs w:val="22"/>
        </w:rPr>
        <w:t>il martedì</w:t>
      </w:r>
      <w:r>
        <w:rPr>
          <w:rFonts w:ascii="Arial" w:hAnsi="Arial" w:cs="Arial"/>
          <w:sz w:val="22"/>
          <w:szCs w:val="22"/>
        </w:rPr>
        <w:t xml:space="preserve">, individuato quale giorno di controllo, si dovesse evidenziare che nei 7 giorni precedenti si è avuto lo sforamento continuativo del valore limite giornaliero di 50 μg/m3 di PM10 rilevato dalle stazioni della rete regionale di monitoraggio nel territorio di una o più province, </w:t>
      </w:r>
      <w:r>
        <w:rPr>
          <w:rFonts w:ascii="Arial" w:hAnsi="Arial" w:cs="Arial"/>
          <w:b/>
          <w:bCs/>
          <w:sz w:val="22"/>
          <w:szCs w:val="22"/>
        </w:rPr>
        <w:t xml:space="preserve">è prevista automaticamente e senza possibilità di revoca la limitazione nella domenica successiva al giorno di controllo della circolazione nelle aree urbane </w:t>
      </w:r>
      <w:r>
        <w:rPr>
          <w:rFonts w:ascii="Arial" w:hAnsi="Arial" w:cs="Arial"/>
          <w:sz w:val="22"/>
          <w:szCs w:val="22"/>
        </w:rPr>
        <w:t>degli Enti sottoscrittori della Provincia nella quale si sono verificati i superamenti, alle stesse tipologie di veicoli impediti alla circolazione del giovedì e delle domeniche ecologiche:</w:t>
      </w:r>
    </w:p>
    <w:p w:rsidR="003C7833" w:rsidRDefault="003C7833">
      <w:pPr>
        <w:pStyle w:val="Heading1"/>
        <w:rPr>
          <w:sz w:val="22"/>
          <w:szCs w:val="22"/>
        </w:rPr>
      </w:pPr>
    </w:p>
    <w:p w:rsidR="003C7833" w:rsidRDefault="003C7833">
      <w:pPr>
        <w:pStyle w:val="Heading1"/>
        <w:rPr>
          <w:sz w:val="22"/>
          <w:szCs w:val="22"/>
        </w:rPr>
      </w:pPr>
    </w:p>
    <w:p w:rsidR="003C7833" w:rsidRDefault="003C7833">
      <w:pPr>
        <w:pStyle w:val="Heading1"/>
        <w:rPr>
          <w:sz w:val="22"/>
          <w:szCs w:val="22"/>
        </w:rPr>
      </w:pPr>
      <w:r>
        <w:rPr>
          <w:sz w:val="22"/>
          <w:szCs w:val="22"/>
        </w:rPr>
        <w:t>ULTERIORI PROVVEDIMENTI EMERGENZIALI</w:t>
      </w:r>
    </w:p>
    <w:p w:rsidR="003C7833" w:rsidRPr="00106216" w:rsidRDefault="003C7833" w:rsidP="00106216"/>
    <w:p w:rsidR="003C7833" w:rsidRDefault="003C7833">
      <w:pPr>
        <w:autoSpaceDE w:val="0"/>
        <w:jc w:val="both"/>
        <w:rPr>
          <w:rFonts w:ascii="Arial" w:hAnsi="Arial" w:cs="Arial"/>
          <w:sz w:val="22"/>
          <w:szCs w:val="22"/>
        </w:rPr>
      </w:pPr>
      <w:r>
        <w:rPr>
          <w:rFonts w:ascii="Arial" w:hAnsi="Arial" w:cs="Arial"/>
          <w:sz w:val="22"/>
          <w:szCs w:val="22"/>
        </w:rPr>
        <w:t xml:space="preserve">Qualora i superamenti </w:t>
      </w:r>
      <w:r>
        <w:rPr>
          <w:rFonts w:ascii="Arial" w:hAnsi="Arial" w:cs="Arial"/>
          <w:b/>
          <w:bCs/>
          <w:sz w:val="22"/>
          <w:szCs w:val="22"/>
        </w:rPr>
        <w:t xml:space="preserve">perdurino per ulteriori 7 giorni consecutivi nella stessa o in un’altra provincia, </w:t>
      </w:r>
      <w:r>
        <w:rPr>
          <w:rFonts w:ascii="Arial" w:hAnsi="Arial" w:cs="Arial"/>
          <w:sz w:val="22"/>
          <w:szCs w:val="22"/>
        </w:rPr>
        <w:t>i provvedimenti di limitazione della circolazione saranno estesi alle aree urbane di tutti gli Enti sottoscrittori dell’Accordo e si darà attuazione anche alle seguenti misure, fino alla verifica del martedì successivo:</w:t>
      </w:r>
    </w:p>
    <w:p w:rsidR="003C7833" w:rsidRDefault="003C7833">
      <w:pPr>
        <w:pStyle w:val="BodyTextIndent2"/>
        <w:jc w:val="both"/>
        <w:rPr>
          <w:sz w:val="22"/>
          <w:szCs w:val="22"/>
        </w:rPr>
      </w:pPr>
      <w:r>
        <w:rPr>
          <w:sz w:val="22"/>
          <w:szCs w:val="22"/>
        </w:rPr>
        <w:t xml:space="preserve">a)  </w:t>
      </w:r>
      <w:r>
        <w:rPr>
          <w:sz w:val="22"/>
          <w:szCs w:val="22"/>
          <w:u w:val="single"/>
        </w:rPr>
        <w:t>ridurre le temperature di almeno un grado centigrado negli ambienti di vita riscaldati</w:t>
      </w:r>
      <w:r>
        <w:rPr>
          <w:sz w:val="22"/>
          <w:szCs w:val="22"/>
        </w:rPr>
        <w:t xml:space="preserve"> (fino a massimo 19°C nelle case, negli uffici, nei luoghi per le attività ricreative associative o di culto, nelle attività commerciali; fino a massimo 17°C nei luoghi che ospitano attività industriali ed artigianali). Sono esclusi da queste indicazioni gli ospedali e le case di cura, le scuole ed i luoghi che ospitano attività sportive;</w:t>
      </w:r>
    </w:p>
    <w:p w:rsidR="003C7833" w:rsidRDefault="003C7833">
      <w:pPr>
        <w:pStyle w:val="BodyText2"/>
        <w:autoSpaceDE w:val="0"/>
        <w:ind w:left="360" w:hanging="360"/>
        <w:jc w:val="both"/>
        <w:rPr>
          <w:rFonts w:ascii="Arial" w:hAnsi="Arial" w:cs="Arial"/>
          <w:sz w:val="22"/>
          <w:szCs w:val="22"/>
        </w:rPr>
      </w:pPr>
      <w:r>
        <w:rPr>
          <w:rFonts w:ascii="Arial" w:hAnsi="Arial" w:cs="Arial"/>
          <w:sz w:val="22"/>
          <w:szCs w:val="22"/>
        </w:rPr>
        <w:t xml:space="preserve">b) nelle unità immobiliari dotate di sistemi di riscaldamento multi-combustibile, è </w:t>
      </w:r>
      <w:r>
        <w:rPr>
          <w:rFonts w:ascii="Arial" w:hAnsi="Arial" w:cs="Arial"/>
          <w:sz w:val="22"/>
          <w:szCs w:val="22"/>
          <w:u w:val="single"/>
        </w:rPr>
        <w:t>vietato l’utilizzo di biomasse (legna, pellet, cippato, altro) in sistemi di combustione del tipo camino aperto</w:t>
      </w:r>
      <w:r>
        <w:rPr>
          <w:rFonts w:ascii="Arial" w:hAnsi="Arial" w:cs="Arial"/>
          <w:sz w:val="22"/>
          <w:szCs w:val="22"/>
        </w:rPr>
        <w:t>;</w:t>
      </w:r>
    </w:p>
    <w:p w:rsidR="003C7833" w:rsidRDefault="003C7833">
      <w:pPr>
        <w:pStyle w:val="BodyText2"/>
        <w:autoSpaceDE w:val="0"/>
        <w:ind w:left="360" w:hanging="360"/>
        <w:jc w:val="both"/>
        <w:rPr>
          <w:rFonts w:ascii="Arial" w:hAnsi="Arial" w:cs="Arial"/>
          <w:sz w:val="22"/>
          <w:szCs w:val="22"/>
        </w:rPr>
      </w:pPr>
      <w:r>
        <w:rPr>
          <w:rFonts w:ascii="Arial" w:hAnsi="Arial" w:cs="Arial"/>
          <w:sz w:val="22"/>
          <w:szCs w:val="22"/>
        </w:rPr>
        <w:t xml:space="preserve">c) </w:t>
      </w:r>
      <w:r>
        <w:rPr>
          <w:rFonts w:ascii="Arial" w:hAnsi="Arial" w:cs="Arial"/>
          <w:sz w:val="22"/>
          <w:szCs w:val="22"/>
          <w:u w:val="single"/>
        </w:rPr>
        <w:t>potenziare i controlli sui veicoli circolanti</w:t>
      </w:r>
      <w:r>
        <w:rPr>
          <w:rFonts w:ascii="Arial" w:hAnsi="Arial" w:cs="Arial"/>
          <w:sz w:val="22"/>
          <w:szCs w:val="22"/>
        </w:rPr>
        <w:t xml:space="preserve"> sulla base delle limitazioni della circolazione in vigore.</w:t>
      </w:r>
    </w:p>
    <w:p w:rsidR="003C7833" w:rsidRDefault="003C7833">
      <w:pPr>
        <w:autoSpaceDE w:val="0"/>
        <w:rPr>
          <w:rFonts w:ascii="Arial" w:hAnsi="Arial" w:cs="Arial"/>
          <w:sz w:val="22"/>
          <w:szCs w:val="22"/>
        </w:rPr>
      </w:pPr>
    </w:p>
    <w:p w:rsidR="003C7833" w:rsidRDefault="003C7833">
      <w:pPr>
        <w:autoSpaceDE w:val="0"/>
        <w:jc w:val="both"/>
        <w:rPr>
          <w:rFonts w:ascii="Arial" w:hAnsi="Arial" w:cs="Arial"/>
          <w:sz w:val="22"/>
          <w:szCs w:val="22"/>
        </w:rPr>
      </w:pPr>
      <w:r>
        <w:rPr>
          <w:rFonts w:ascii="Arial" w:hAnsi="Arial" w:cs="Arial"/>
          <w:sz w:val="22"/>
          <w:szCs w:val="22"/>
        </w:rPr>
        <w:t xml:space="preserve">Arpa provvede a fornire l’emissione di un </w:t>
      </w:r>
      <w:r>
        <w:rPr>
          <w:rFonts w:ascii="Arial" w:hAnsi="Arial" w:cs="Arial"/>
          <w:b/>
          <w:bCs/>
          <w:sz w:val="22"/>
          <w:szCs w:val="22"/>
        </w:rPr>
        <w:t xml:space="preserve">bollettino settimanale, </w:t>
      </w:r>
      <w:r>
        <w:rPr>
          <w:rFonts w:ascii="Arial" w:hAnsi="Arial" w:cs="Arial"/>
          <w:sz w:val="22"/>
          <w:szCs w:val="22"/>
        </w:rPr>
        <w:t xml:space="preserve">per il periodo dall’1 ottobre al 31 marzo, finalizzato alla individuazione di situazioni di particolare criticità. </w:t>
      </w:r>
    </w:p>
    <w:p w:rsidR="003C7833" w:rsidRDefault="003C7833">
      <w:pPr>
        <w:autoSpaceDE w:val="0"/>
        <w:rPr>
          <w:rFonts w:ascii="Arial" w:hAnsi="Arial" w:cs="Arial"/>
          <w:sz w:val="22"/>
          <w:szCs w:val="22"/>
        </w:rPr>
      </w:pPr>
      <w:r>
        <w:rPr>
          <w:rFonts w:ascii="Arial" w:hAnsi="Arial" w:cs="Arial"/>
          <w:sz w:val="22"/>
          <w:szCs w:val="22"/>
        </w:rPr>
        <w:t>Il bollettino verrà emesso entro le ore 12 di ogni martedì e verrà diffuso da ARPA</w:t>
      </w:r>
    </w:p>
    <w:p w:rsidR="003C7833" w:rsidRDefault="003C7833">
      <w:pPr>
        <w:autoSpaceDE w:val="0"/>
        <w:ind w:left="1080"/>
        <w:jc w:val="both"/>
        <w:rPr>
          <w:rFonts w:ascii="Arial" w:hAnsi="Arial" w:cs="Arial"/>
          <w:sz w:val="22"/>
          <w:szCs w:val="22"/>
        </w:rPr>
      </w:pPr>
    </w:p>
    <w:p w:rsidR="003C7833" w:rsidRDefault="003C7833">
      <w:pPr>
        <w:autoSpaceDE w:val="0"/>
        <w:jc w:val="both"/>
        <w:rPr>
          <w:rFonts w:ascii="Arial" w:hAnsi="Arial" w:cs="Arial"/>
          <w:sz w:val="22"/>
          <w:szCs w:val="22"/>
        </w:rPr>
      </w:pPr>
      <w:r>
        <w:rPr>
          <w:rFonts w:ascii="Arial" w:hAnsi="Arial" w:cs="Arial"/>
          <w:sz w:val="22"/>
          <w:szCs w:val="22"/>
        </w:rPr>
        <w:t xml:space="preserve"> </w:t>
      </w:r>
    </w:p>
    <w:p w:rsidR="003C7833" w:rsidRDefault="003C7833">
      <w:pPr>
        <w:autoSpaceDE w:val="0"/>
        <w:jc w:val="both"/>
        <w:rPr>
          <w:rFonts w:ascii="Arial" w:hAnsi="Arial" w:cs="Arial"/>
          <w:sz w:val="22"/>
          <w:szCs w:val="22"/>
        </w:rPr>
      </w:pPr>
    </w:p>
    <w:p w:rsidR="003C7833" w:rsidRDefault="003C7833">
      <w:pPr>
        <w:autoSpaceDE w:val="0"/>
        <w:ind w:left="1800"/>
        <w:jc w:val="both"/>
        <w:rPr>
          <w:rFonts w:ascii="Arial" w:hAnsi="Arial" w:cs="Arial"/>
          <w:sz w:val="22"/>
          <w:szCs w:val="22"/>
        </w:rPr>
      </w:pPr>
    </w:p>
    <w:p w:rsidR="003C7833" w:rsidRDefault="003C7833">
      <w:pPr>
        <w:pStyle w:val="Heading2"/>
      </w:pPr>
      <w:r>
        <w:t>STIMA DEGLI EFFETTI</w:t>
      </w:r>
    </w:p>
    <w:p w:rsidR="003C7833" w:rsidRDefault="003C7833">
      <w:pPr>
        <w:rPr>
          <w:rFonts w:ascii="Arial" w:hAnsi="Arial" w:cs="Arial"/>
          <w:sz w:val="22"/>
          <w:szCs w:val="22"/>
        </w:rPr>
      </w:pPr>
    </w:p>
    <w:tbl>
      <w:tblPr>
        <w:tblW w:w="0" w:type="auto"/>
        <w:jc w:val="center"/>
        <w:tblCellMar>
          <w:top w:w="15" w:type="dxa"/>
          <w:left w:w="15" w:type="dxa"/>
          <w:right w:w="15" w:type="dxa"/>
        </w:tblCellMar>
        <w:tblLook w:val="0000"/>
      </w:tblPr>
      <w:tblGrid>
        <w:gridCol w:w="2444"/>
        <w:gridCol w:w="771"/>
        <w:gridCol w:w="771"/>
        <w:gridCol w:w="771"/>
        <w:gridCol w:w="771"/>
        <w:gridCol w:w="771"/>
        <w:gridCol w:w="880"/>
        <w:gridCol w:w="880"/>
        <w:gridCol w:w="888"/>
      </w:tblGrid>
      <w:tr w:rsidR="003C7833" w:rsidRPr="005C7B9D">
        <w:trPr>
          <w:trHeight w:val="300"/>
          <w:jc w:val="center"/>
        </w:trPr>
        <w:tc>
          <w:tcPr>
            <w:tcW w:w="6299" w:type="dxa"/>
            <w:gridSpan w:val="6"/>
            <w:tcBorders>
              <w:top w:val="nil"/>
              <w:left w:val="nil"/>
              <w:bottom w:val="nil"/>
              <w:right w:val="nil"/>
            </w:tcBorders>
            <w:vAlign w:val="bottom"/>
          </w:tcPr>
          <w:p w:rsidR="003C7833" w:rsidRPr="005C7B9D" w:rsidRDefault="003C7833">
            <w:pPr>
              <w:rPr>
                <w:rFonts w:ascii="Arial" w:hAnsi="Arial" w:cs="Arial"/>
                <w:b/>
                <w:bCs/>
              </w:rPr>
            </w:pPr>
            <w:r w:rsidRPr="005C7B9D">
              <w:rPr>
                <w:rFonts w:ascii="Arial" w:hAnsi="Arial" w:cs="Arial"/>
                <w:b/>
                <w:bCs/>
                <w:sz w:val="22"/>
                <w:szCs w:val="22"/>
              </w:rPr>
              <w:t>Autovetture circolanti nel Comune di Piacenza - Dati 2013</w:t>
            </w:r>
          </w:p>
        </w:tc>
        <w:tc>
          <w:tcPr>
            <w:tcW w:w="88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88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888" w:type="dxa"/>
            <w:tcBorders>
              <w:top w:val="nil"/>
              <w:left w:val="nil"/>
              <w:bottom w:val="nil"/>
              <w:right w:val="nil"/>
            </w:tcBorders>
            <w:vAlign w:val="bottom"/>
          </w:tcPr>
          <w:p w:rsidR="003C7833" w:rsidRPr="005C7B9D" w:rsidRDefault="003C7833">
            <w:pPr>
              <w:snapToGrid w:val="0"/>
              <w:rPr>
                <w:rFonts w:ascii="Arial" w:eastAsia="Arial Unicode MS" w:hAnsi="Arial"/>
                <w:b/>
                <w:bCs/>
                <w:color w:val="000000"/>
              </w:rPr>
            </w:pPr>
          </w:p>
        </w:tc>
      </w:tr>
      <w:tr w:rsidR="003C7833">
        <w:trPr>
          <w:trHeight w:val="300"/>
          <w:jc w:val="center"/>
        </w:trPr>
        <w:tc>
          <w:tcPr>
            <w:tcW w:w="2444" w:type="dxa"/>
            <w:tcBorders>
              <w:top w:val="single" w:sz="4" w:space="0" w:color="000000"/>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 </w:t>
            </w:r>
          </w:p>
        </w:tc>
        <w:tc>
          <w:tcPr>
            <w:tcW w:w="77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0</w:t>
            </w:r>
          </w:p>
        </w:tc>
        <w:tc>
          <w:tcPr>
            <w:tcW w:w="77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1</w:t>
            </w:r>
          </w:p>
        </w:tc>
        <w:tc>
          <w:tcPr>
            <w:tcW w:w="77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2</w:t>
            </w:r>
          </w:p>
        </w:tc>
        <w:tc>
          <w:tcPr>
            <w:tcW w:w="77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3</w:t>
            </w:r>
          </w:p>
        </w:tc>
        <w:tc>
          <w:tcPr>
            <w:tcW w:w="77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4</w:t>
            </w:r>
          </w:p>
        </w:tc>
        <w:tc>
          <w:tcPr>
            <w:tcW w:w="88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5</w:t>
            </w:r>
          </w:p>
        </w:tc>
        <w:tc>
          <w:tcPr>
            <w:tcW w:w="88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6</w:t>
            </w:r>
          </w:p>
        </w:tc>
        <w:tc>
          <w:tcPr>
            <w:tcW w:w="888" w:type="dxa"/>
            <w:tcBorders>
              <w:top w:val="single" w:sz="4" w:space="0" w:color="000000"/>
              <w:left w:val="single" w:sz="4" w:space="0" w:color="000000"/>
              <w:bottom w:val="single" w:sz="4" w:space="0" w:color="000000"/>
              <w:right w:val="single" w:sz="4" w:space="0" w:color="000000"/>
            </w:tcBorders>
            <w:tcMar>
              <w:left w:w="10" w:type="dxa"/>
            </w:tcMar>
            <w:vAlign w:val="bottom"/>
          </w:tcPr>
          <w:p w:rsidR="003C7833" w:rsidRDefault="003C7833">
            <w:pPr>
              <w:rPr>
                <w:rFonts w:ascii="Arial" w:hAnsi="Arial" w:cs="Arial"/>
                <w:b/>
                <w:bCs/>
                <w:color w:val="000000"/>
                <w:sz w:val="18"/>
                <w:szCs w:val="18"/>
              </w:rPr>
            </w:pPr>
            <w:r>
              <w:rPr>
                <w:rFonts w:ascii="Arial" w:hAnsi="Arial" w:cs="Arial"/>
                <w:b/>
                <w:bCs/>
                <w:color w:val="000000"/>
                <w:sz w:val="18"/>
                <w:szCs w:val="18"/>
              </w:rPr>
              <w:t>Totale</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BENZINA</w:t>
            </w:r>
          </w:p>
        </w:tc>
        <w:tc>
          <w:tcPr>
            <w:tcW w:w="77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4471</w:t>
            </w:r>
          </w:p>
        </w:tc>
        <w:tc>
          <w:tcPr>
            <w:tcW w:w="771"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1420</w:t>
            </w:r>
          </w:p>
        </w:tc>
        <w:tc>
          <w:tcPr>
            <w:tcW w:w="771"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5402</w:t>
            </w:r>
          </w:p>
        </w:tc>
        <w:tc>
          <w:tcPr>
            <w:tcW w:w="771"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4119</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9542</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3772</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226</w:t>
            </w:r>
          </w:p>
        </w:tc>
        <w:tc>
          <w:tcPr>
            <w:tcW w:w="888"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color w:val="000000"/>
                <w:sz w:val="18"/>
                <w:szCs w:val="18"/>
              </w:rPr>
            </w:pPr>
            <w:r>
              <w:rPr>
                <w:rFonts w:ascii="Arial" w:hAnsi="Arial" w:cs="Arial"/>
                <w:b/>
                <w:bCs/>
                <w:color w:val="000000"/>
                <w:sz w:val="18"/>
                <w:szCs w:val="18"/>
              </w:rPr>
              <w:t>28952</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BENZINA E GAS LIQUIDO</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424</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160</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501</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287</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2390</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868</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48</w:t>
            </w:r>
          </w:p>
        </w:tc>
        <w:tc>
          <w:tcPr>
            <w:tcW w:w="888"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color w:val="000000"/>
                <w:sz w:val="18"/>
                <w:szCs w:val="18"/>
              </w:rPr>
            </w:pPr>
            <w:r>
              <w:rPr>
                <w:rFonts w:ascii="Arial" w:hAnsi="Arial" w:cs="Arial"/>
                <w:b/>
                <w:bCs/>
                <w:color w:val="000000"/>
                <w:sz w:val="18"/>
                <w:szCs w:val="18"/>
              </w:rPr>
              <w:t>4678</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 xml:space="preserve">BENZINA E METANO </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203</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65</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231</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152</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1110</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697</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13</w:t>
            </w:r>
          </w:p>
        </w:tc>
        <w:tc>
          <w:tcPr>
            <w:tcW w:w="888"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color w:val="000000"/>
                <w:sz w:val="18"/>
                <w:szCs w:val="18"/>
              </w:rPr>
            </w:pPr>
            <w:r>
              <w:rPr>
                <w:rFonts w:ascii="Arial" w:hAnsi="Arial" w:cs="Arial"/>
                <w:b/>
                <w:bCs/>
                <w:color w:val="000000"/>
                <w:sz w:val="18"/>
                <w:szCs w:val="18"/>
              </w:rPr>
              <w:t>2471</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 xml:space="preserve">GASOLIO  </w:t>
            </w:r>
          </w:p>
        </w:tc>
        <w:tc>
          <w:tcPr>
            <w:tcW w:w="77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660</w:t>
            </w:r>
          </w:p>
        </w:tc>
        <w:tc>
          <w:tcPr>
            <w:tcW w:w="77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287</w:t>
            </w:r>
          </w:p>
        </w:tc>
        <w:tc>
          <w:tcPr>
            <w:tcW w:w="77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2259</w:t>
            </w:r>
          </w:p>
        </w:tc>
        <w:tc>
          <w:tcPr>
            <w:tcW w:w="771"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6082</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9777</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5849</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526</w:t>
            </w:r>
          </w:p>
        </w:tc>
        <w:tc>
          <w:tcPr>
            <w:tcW w:w="888"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color w:val="000000"/>
                <w:sz w:val="18"/>
                <w:szCs w:val="18"/>
              </w:rPr>
            </w:pPr>
            <w:r>
              <w:rPr>
                <w:rFonts w:ascii="Arial" w:hAnsi="Arial" w:cs="Arial"/>
                <w:b/>
                <w:bCs/>
                <w:color w:val="000000"/>
                <w:sz w:val="18"/>
                <w:szCs w:val="18"/>
              </w:rPr>
              <w:t>25440</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ELETTRICO-IBRIDO</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21</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54</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25</w:t>
            </w:r>
          </w:p>
        </w:tc>
        <w:tc>
          <w:tcPr>
            <w:tcW w:w="888"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color w:val="000000"/>
                <w:sz w:val="18"/>
                <w:szCs w:val="18"/>
              </w:rPr>
            </w:pPr>
            <w:r>
              <w:rPr>
                <w:rFonts w:ascii="Arial" w:hAnsi="Arial" w:cs="Arial"/>
                <w:b/>
                <w:bCs/>
                <w:color w:val="000000"/>
                <w:sz w:val="18"/>
                <w:szCs w:val="18"/>
              </w:rPr>
              <w:t>101</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b/>
                <w:bCs/>
                <w:sz w:val="18"/>
                <w:szCs w:val="18"/>
              </w:rPr>
            </w:pPr>
            <w:r>
              <w:rPr>
                <w:rFonts w:ascii="Arial" w:hAnsi="Arial" w:cs="Arial"/>
                <w:b/>
                <w:bCs/>
                <w:sz w:val="18"/>
                <w:szCs w:val="18"/>
              </w:rPr>
              <w:t>Totale</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5759</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1932</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8393</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10641</w:t>
            </w:r>
          </w:p>
        </w:tc>
        <w:tc>
          <w:tcPr>
            <w:tcW w:w="77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22839</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11240</w:t>
            </w:r>
          </w:p>
        </w:tc>
        <w:tc>
          <w:tcPr>
            <w:tcW w:w="88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838</w:t>
            </w:r>
          </w:p>
        </w:tc>
        <w:tc>
          <w:tcPr>
            <w:tcW w:w="888"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color w:val="000000"/>
                <w:sz w:val="18"/>
                <w:szCs w:val="18"/>
              </w:rPr>
            </w:pPr>
            <w:r>
              <w:rPr>
                <w:rFonts w:ascii="Arial" w:hAnsi="Arial" w:cs="Arial"/>
                <w:b/>
                <w:bCs/>
                <w:color w:val="000000"/>
                <w:sz w:val="18"/>
                <w:szCs w:val="18"/>
              </w:rPr>
              <w:t>61642</w:t>
            </w:r>
          </w:p>
        </w:tc>
      </w:tr>
    </w:tbl>
    <w:p w:rsidR="003C7833" w:rsidRDefault="003C7833">
      <w:pPr>
        <w:rPr>
          <w:rFonts w:ascii="Arial" w:hAnsi="Arial" w:cs="Arial"/>
          <w:sz w:val="22"/>
          <w:szCs w:val="22"/>
        </w:rPr>
      </w:pPr>
    </w:p>
    <w:tbl>
      <w:tblPr>
        <w:tblW w:w="0" w:type="auto"/>
        <w:jc w:val="center"/>
        <w:tblBorders>
          <w:top w:val="single" w:sz="4" w:space="0" w:color="000000"/>
          <w:left w:val="single" w:sz="4" w:space="0" w:color="000000"/>
          <w:bottom w:val="single" w:sz="4" w:space="0" w:color="000000"/>
          <w:insideH w:val="single" w:sz="4" w:space="0" w:color="000000"/>
        </w:tblBorders>
        <w:tblCellMar>
          <w:top w:w="15" w:type="dxa"/>
          <w:left w:w="10" w:type="dxa"/>
          <w:right w:w="15" w:type="dxa"/>
        </w:tblCellMar>
        <w:tblLook w:val="0000"/>
      </w:tblPr>
      <w:tblGrid>
        <w:gridCol w:w="6070"/>
        <w:gridCol w:w="880"/>
        <w:gridCol w:w="1242"/>
        <w:gridCol w:w="890"/>
      </w:tblGrid>
      <w:tr w:rsidR="003C7833">
        <w:trPr>
          <w:trHeight w:val="780"/>
          <w:jc w:val="center"/>
        </w:trPr>
        <w:tc>
          <w:tcPr>
            <w:tcW w:w="6070" w:type="dxa"/>
            <w:tcBorders>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Auto interessate dalle limitazioni del lunedì-venerdì (colore arancio)</w:t>
            </w:r>
          </w:p>
        </w:tc>
        <w:tc>
          <w:tcPr>
            <w:tcW w:w="880"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7677</w:t>
            </w:r>
          </w:p>
        </w:tc>
        <w:tc>
          <w:tcPr>
            <w:tcW w:w="1242"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890" w:type="dxa"/>
            <w:tcBorders>
              <w:left w:val="single" w:sz="4" w:space="0" w:color="000000"/>
              <w:right w:val="single" w:sz="4" w:space="0" w:color="000000"/>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12%</w:t>
            </w:r>
          </w:p>
        </w:tc>
      </w:tr>
      <w:tr w:rsidR="003C7833">
        <w:trPr>
          <w:trHeight w:val="780"/>
          <w:jc w:val="center"/>
        </w:trPr>
        <w:tc>
          <w:tcPr>
            <w:tcW w:w="6070" w:type="dxa"/>
            <w:tcBorders>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Auto interessate dalle limitazioni del giovedì o domenica ecologica (colore arancio + giallo)</w:t>
            </w:r>
          </w:p>
        </w:tc>
        <w:tc>
          <w:tcPr>
            <w:tcW w:w="880"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24700</w:t>
            </w:r>
          </w:p>
        </w:tc>
        <w:tc>
          <w:tcPr>
            <w:tcW w:w="1242"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890" w:type="dxa"/>
            <w:tcBorders>
              <w:left w:val="single" w:sz="4" w:space="0" w:color="000000"/>
              <w:right w:val="single" w:sz="4" w:space="0" w:color="000000"/>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40%</w:t>
            </w:r>
          </w:p>
        </w:tc>
      </w:tr>
    </w:tbl>
    <w:p w:rsidR="003C7833" w:rsidRDefault="003C7833">
      <w:pPr>
        <w:rPr>
          <w:sz w:val="22"/>
          <w:szCs w:val="22"/>
        </w:rPr>
      </w:pPr>
    </w:p>
    <w:p w:rsidR="003C7833" w:rsidRDefault="003C7833">
      <w:pPr>
        <w:pStyle w:val="BodyText3"/>
        <w:rPr>
          <w:sz w:val="22"/>
          <w:szCs w:val="22"/>
        </w:rPr>
      </w:pPr>
      <w:r>
        <w:rPr>
          <w:sz w:val="22"/>
          <w:szCs w:val="22"/>
        </w:rPr>
        <w:t xml:space="preserve">Analoga elaborazione effettuata all’inizio dell’attivazione dei provvedimenti AdP 2012-2015 utilizzando i dati ACI 2010, aveva evidenziato che le auto interessate dalle limitazioni del lunedì-venerdì rappresentavano il 15% mentre quelle interessate dalle limitazioni del giovedì costituivano il 51%. </w:t>
      </w:r>
    </w:p>
    <w:p w:rsidR="003C7833" w:rsidRDefault="003C7833">
      <w:pPr>
        <w:rPr>
          <w:rFonts w:ascii="Arial" w:hAnsi="Arial" w:cs="Arial"/>
          <w:sz w:val="22"/>
          <w:szCs w:val="22"/>
        </w:rPr>
      </w:pPr>
    </w:p>
    <w:p w:rsidR="003C7833" w:rsidRDefault="003C7833">
      <w:pPr>
        <w:rPr>
          <w:rFonts w:ascii="Arial" w:hAnsi="Arial" w:cs="Arial"/>
          <w:sz w:val="22"/>
          <w:szCs w:val="22"/>
        </w:rPr>
      </w:pPr>
    </w:p>
    <w:p w:rsidR="003C7833" w:rsidRDefault="003C7833">
      <w:pPr>
        <w:rPr>
          <w:rFonts w:ascii="Arial" w:hAnsi="Arial" w:cs="Arial"/>
          <w:sz w:val="22"/>
          <w:szCs w:val="22"/>
        </w:rPr>
      </w:pPr>
    </w:p>
    <w:p w:rsidR="003C7833" w:rsidRDefault="003C7833">
      <w:pPr>
        <w:rPr>
          <w:rFonts w:ascii="Arial" w:hAnsi="Arial" w:cs="Arial"/>
          <w:sz w:val="22"/>
          <w:szCs w:val="22"/>
        </w:rPr>
      </w:pPr>
    </w:p>
    <w:p w:rsidR="003C7833" w:rsidRDefault="003C7833">
      <w:pPr>
        <w:rPr>
          <w:rFonts w:ascii="Arial" w:hAnsi="Arial" w:cs="Arial"/>
          <w:sz w:val="22"/>
          <w:szCs w:val="22"/>
        </w:rPr>
      </w:pPr>
    </w:p>
    <w:tbl>
      <w:tblPr>
        <w:tblW w:w="0" w:type="auto"/>
        <w:jc w:val="center"/>
        <w:tblCellMar>
          <w:top w:w="15" w:type="dxa"/>
          <w:left w:w="15" w:type="dxa"/>
          <w:right w:w="15" w:type="dxa"/>
        </w:tblCellMar>
        <w:tblLook w:val="0000"/>
      </w:tblPr>
      <w:tblGrid>
        <w:gridCol w:w="2444"/>
        <w:gridCol w:w="981"/>
        <w:gridCol w:w="901"/>
        <w:gridCol w:w="740"/>
        <w:gridCol w:w="740"/>
        <w:gridCol w:w="740"/>
        <w:gridCol w:w="740"/>
        <w:gridCol w:w="740"/>
        <w:gridCol w:w="836"/>
      </w:tblGrid>
      <w:tr w:rsidR="003C7833" w:rsidRPr="005C7B9D">
        <w:trPr>
          <w:trHeight w:val="405"/>
          <w:jc w:val="center"/>
        </w:trPr>
        <w:tc>
          <w:tcPr>
            <w:tcW w:w="5806" w:type="dxa"/>
            <w:gridSpan w:val="5"/>
            <w:tcBorders>
              <w:top w:val="nil"/>
              <w:left w:val="nil"/>
              <w:bottom w:val="nil"/>
              <w:right w:val="nil"/>
            </w:tcBorders>
            <w:vAlign w:val="bottom"/>
          </w:tcPr>
          <w:p w:rsidR="003C7833" w:rsidRPr="005C7B9D" w:rsidRDefault="003C7833">
            <w:pPr>
              <w:rPr>
                <w:rFonts w:ascii="Arial" w:hAnsi="Arial" w:cs="Arial"/>
                <w:b/>
                <w:bCs/>
              </w:rPr>
            </w:pPr>
            <w:r w:rsidRPr="005C7B9D">
              <w:rPr>
                <w:rFonts w:ascii="Arial" w:hAnsi="Arial" w:cs="Arial"/>
                <w:b/>
                <w:bCs/>
                <w:sz w:val="22"/>
                <w:szCs w:val="22"/>
              </w:rPr>
              <w:t xml:space="preserve">Autocarri leggeri circolanti nel Comune di Piacenza – </w:t>
            </w:r>
          </w:p>
          <w:p w:rsidR="003C7833" w:rsidRPr="005C7B9D" w:rsidRDefault="003C7833">
            <w:pPr>
              <w:rPr>
                <w:rFonts w:ascii="Arial" w:hAnsi="Arial" w:cs="Arial"/>
                <w:b/>
                <w:bCs/>
              </w:rPr>
            </w:pPr>
            <w:r w:rsidRPr="005C7B9D">
              <w:rPr>
                <w:rFonts w:ascii="Arial" w:hAnsi="Arial" w:cs="Arial"/>
                <w:b/>
                <w:bCs/>
                <w:sz w:val="22"/>
                <w:szCs w:val="22"/>
              </w:rPr>
              <w:t>Dati 2013</w:t>
            </w:r>
          </w:p>
        </w:tc>
        <w:tc>
          <w:tcPr>
            <w:tcW w:w="74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74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74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836"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r>
      <w:tr w:rsidR="003C7833">
        <w:trPr>
          <w:trHeight w:val="480"/>
          <w:jc w:val="center"/>
        </w:trPr>
        <w:tc>
          <w:tcPr>
            <w:tcW w:w="2444"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ALIMENTAZIONE</w:t>
            </w:r>
          </w:p>
        </w:tc>
        <w:tc>
          <w:tcPr>
            <w:tcW w:w="98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0</w:t>
            </w:r>
          </w:p>
        </w:tc>
        <w:tc>
          <w:tcPr>
            <w:tcW w:w="90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1</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2</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3</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4</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5</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6</w:t>
            </w:r>
          </w:p>
        </w:tc>
        <w:tc>
          <w:tcPr>
            <w:tcW w:w="836" w:type="dxa"/>
            <w:tcBorders>
              <w:top w:val="single" w:sz="4" w:space="0" w:color="000000"/>
              <w:left w:val="single" w:sz="4" w:space="0" w:color="000000"/>
              <w:bottom w:val="single" w:sz="4" w:space="0" w:color="000000"/>
              <w:right w:val="single" w:sz="4" w:space="0" w:color="000000"/>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TOTALE</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BENZINA</w:t>
            </w:r>
          </w:p>
        </w:tc>
        <w:tc>
          <w:tcPr>
            <w:tcW w:w="98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101</w:t>
            </w:r>
          </w:p>
        </w:tc>
        <w:tc>
          <w:tcPr>
            <w:tcW w:w="901"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20</w:t>
            </w:r>
          </w:p>
        </w:tc>
        <w:tc>
          <w:tcPr>
            <w:tcW w:w="740"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41</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47</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14</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264</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BENZINA E GAS LIQUIDO</w:t>
            </w:r>
          </w:p>
        </w:tc>
        <w:tc>
          <w:tcPr>
            <w:tcW w:w="98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20</w:t>
            </w:r>
          </w:p>
        </w:tc>
        <w:tc>
          <w:tcPr>
            <w:tcW w:w="90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6</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6</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39</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8</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83</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BENZINA E METANO</w:t>
            </w:r>
          </w:p>
        </w:tc>
        <w:tc>
          <w:tcPr>
            <w:tcW w:w="98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8</w:t>
            </w:r>
          </w:p>
        </w:tc>
        <w:tc>
          <w:tcPr>
            <w:tcW w:w="90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3</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7</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86</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73</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182</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GASOLIO</w:t>
            </w:r>
          </w:p>
        </w:tc>
        <w:tc>
          <w:tcPr>
            <w:tcW w:w="98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767</w:t>
            </w:r>
          </w:p>
        </w:tc>
        <w:tc>
          <w:tcPr>
            <w:tcW w:w="90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449</w:t>
            </w:r>
          </w:p>
        </w:tc>
        <w:tc>
          <w:tcPr>
            <w:tcW w:w="740"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1115</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1846</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1878</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586</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29</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6670</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IBRIDO ELETTRICO</w:t>
            </w:r>
          </w:p>
        </w:tc>
        <w:tc>
          <w:tcPr>
            <w:tcW w:w="98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w:t>
            </w:r>
          </w:p>
        </w:tc>
        <w:tc>
          <w:tcPr>
            <w:tcW w:w="90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2</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Totale</w:t>
            </w:r>
          </w:p>
        </w:tc>
        <w:tc>
          <w:tcPr>
            <w:tcW w:w="98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898</w:t>
            </w:r>
          </w:p>
        </w:tc>
        <w:tc>
          <w:tcPr>
            <w:tcW w:w="90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479</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1164</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1899</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2051</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681</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30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7201</w:t>
            </w:r>
          </w:p>
        </w:tc>
      </w:tr>
    </w:tbl>
    <w:p w:rsidR="003C7833" w:rsidRDefault="003C7833">
      <w:pPr>
        <w:rPr>
          <w:rFonts w:ascii="Arial" w:hAnsi="Arial" w:cs="Arial"/>
          <w:sz w:val="22"/>
          <w:szCs w:val="22"/>
        </w:rPr>
      </w:pPr>
    </w:p>
    <w:tbl>
      <w:tblPr>
        <w:tblW w:w="0" w:type="auto"/>
        <w:jc w:val="center"/>
        <w:tblBorders>
          <w:top w:val="single" w:sz="4" w:space="0" w:color="000000"/>
          <w:left w:val="single" w:sz="4" w:space="0" w:color="000000"/>
          <w:bottom w:val="single" w:sz="4" w:space="0" w:color="000000"/>
          <w:insideH w:val="single" w:sz="4" w:space="0" w:color="000000"/>
        </w:tblBorders>
        <w:tblCellMar>
          <w:top w:w="15" w:type="dxa"/>
          <w:left w:w="10" w:type="dxa"/>
          <w:right w:w="15" w:type="dxa"/>
        </w:tblCellMar>
        <w:tblLook w:val="0000"/>
      </w:tblPr>
      <w:tblGrid>
        <w:gridCol w:w="6111"/>
        <w:gridCol w:w="850"/>
        <w:gridCol w:w="1134"/>
        <w:gridCol w:w="1002"/>
      </w:tblGrid>
      <w:tr w:rsidR="003C7833">
        <w:trPr>
          <w:trHeight w:val="780"/>
          <w:jc w:val="center"/>
        </w:trPr>
        <w:tc>
          <w:tcPr>
            <w:tcW w:w="6111" w:type="dxa"/>
            <w:tcBorders>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Autocarri leggeri interessati dalle limitazioni del lunedì-venerdì (colore arancio)</w:t>
            </w:r>
          </w:p>
        </w:tc>
        <w:tc>
          <w:tcPr>
            <w:tcW w:w="850"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2433</w:t>
            </w:r>
          </w:p>
        </w:tc>
        <w:tc>
          <w:tcPr>
            <w:tcW w:w="1134"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1002" w:type="dxa"/>
            <w:tcBorders>
              <w:left w:val="single" w:sz="4" w:space="0" w:color="000000"/>
              <w:right w:val="single" w:sz="4" w:space="0" w:color="000000"/>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34%</w:t>
            </w:r>
          </w:p>
        </w:tc>
      </w:tr>
      <w:tr w:rsidR="003C7833">
        <w:trPr>
          <w:trHeight w:val="780"/>
          <w:jc w:val="center"/>
        </w:trPr>
        <w:tc>
          <w:tcPr>
            <w:tcW w:w="6111" w:type="dxa"/>
            <w:tcBorders>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Autocarri leggeri interessati dalle limitazioni del giovedì o domenica ecologica (colore arancio + giallo)</w:t>
            </w:r>
          </w:p>
        </w:tc>
        <w:tc>
          <w:tcPr>
            <w:tcW w:w="850"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2494</w:t>
            </w:r>
          </w:p>
        </w:tc>
        <w:tc>
          <w:tcPr>
            <w:tcW w:w="1134"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1002" w:type="dxa"/>
            <w:tcBorders>
              <w:left w:val="single" w:sz="4" w:space="0" w:color="000000"/>
              <w:right w:val="single" w:sz="4" w:space="0" w:color="000000"/>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35%</w:t>
            </w:r>
          </w:p>
        </w:tc>
      </w:tr>
    </w:tbl>
    <w:p w:rsidR="003C7833" w:rsidRDefault="003C7833">
      <w:pPr>
        <w:rPr>
          <w:sz w:val="22"/>
          <w:szCs w:val="22"/>
        </w:rPr>
      </w:pPr>
    </w:p>
    <w:p w:rsidR="003C7833" w:rsidRDefault="003C7833">
      <w:pPr>
        <w:pStyle w:val="BodyText3"/>
        <w:rPr>
          <w:sz w:val="22"/>
          <w:szCs w:val="22"/>
        </w:rPr>
      </w:pPr>
      <w:r>
        <w:rPr>
          <w:sz w:val="22"/>
          <w:szCs w:val="22"/>
        </w:rPr>
        <w:t xml:space="preserve">Analoga elaborazione effettuata all’inizio dell’attivazione dei provvedimenti AdP 2012-2015 utilizzando i dati ACI 2010, aveva evidenziato che gli autocarri leggeri interessati dalle limitazioni del lunedì-venerdì rappresentavano il 39% mentre quelli interessati dalle limitazioni del giovedì costituivano il 40%. </w:t>
      </w:r>
    </w:p>
    <w:p w:rsidR="003C7833" w:rsidRDefault="003C7833">
      <w:pPr>
        <w:rPr>
          <w:rFonts w:ascii="Arial" w:hAnsi="Arial" w:cs="Arial"/>
          <w:sz w:val="22"/>
          <w:szCs w:val="22"/>
        </w:rPr>
      </w:pPr>
    </w:p>
    <w:p w:rsidR="003C7833" w:rsidRDefault="003C7833">
      <w:pPr>
        <w:rPr>
          <w:rFonts w:ascii="Arial" w:hAnsi="Arial" w:cs="Arial"/>
          <w:sz w:val="22"/>
          <w:szCs w:val="22"/>
        </w:rPr>
      </w:pPr>
    </w:p>
    <w:p w:rsidR="003C7833" w:rsidRDefault="003C7833">
      <w:pPr>
        <w:rPr>
          <w:rFonts w:ascii="Arial" w:hAnsi="Arial" w:cs="Arial"/>
          <w:sz w:val="22"/>
          <w:szCs w:val="22"/>
        </w:rPr>
      </w:pPr>
    </w:p>
    <w:tbl>
      <w:tblPr>
        <w:tblW w:w="0" w:type="auto"/>
        <w:jc w:val="center"/>
        <w:tblCellMar>
          <w:top w:w="15" w:type="dxa"/>
          <w:left w:w="15" w:type="dxa"/>
          <w:right w:w="15" w:type="dxa"/>
        </w:tblCellMar>
        <w:tblLook w:val="0000"/>
      </w:tblPr>
      <w:tblGrid>
        <w:gridCol w:w="2444"/>
        <w:gridCol w:w="981"/>
        <w:gridCol w:w="901"/>
        <w:gridCol w:w="740"/>
        <w:gridCol w:w="740"/>
        <w:gridCol w:w="740"/>
        <w:gridCol w:w="740"/>
        <w:gridCol w:w="740"/>
        <w:gridCol w:w="836"/>
      </w:tblGrid>
      <w:tr w:rsidR="003C7833" w:rsidRPr="005C7B9D">
        <w:trPr>
          <w:trHeight w:val="405"/>
          <w:jc w:val="center"/>
        </w:trPr>
        <w:tc>
          <w:tcPr>
            <w:tcW w:w="5066" w:type="dxa"/>
            <w:gridSpan w:val="4"/>
            <w:tcBorders>
              <w:top w:val="nil"/>
              <w:left w:val="nil"/>
              <w:bottom w:val="nil"/>
              <w:right w:val="nil"/>
            </w:tcBorders>
            <w:vAlign w:val="bottom"/>
          </w:tcPr>
          <w:p w:rsidR="003C7833" w:rsidRPr="005C7B9D" w:rsidRDefault="003C7833">
            <w:pPr>
              <w:rPr>
                <w:rFonts w:ascii="Arial" w:hAnsi="Arial" w:cs="Arial"/>
                <w:b/>
                <w:bCs/>
              </w:rPr>
            </w:pPr>
            <w:r w:rsidRPr="005C7B9D">
              <w:rPr>
                <w:rFonts w:ascii="Arial" w:hAnsi="Arial" w:cs="Arial"/>
                <w:b/>
                <w:bCs/>
                <w:sz w:val="22"/>
                <w:szCs w:val="22"/>
              </w:rPr>
              <w:t>Autocarri pesanti circolanti nel Comune di Piacenza - Dati 2013</w:t>
            </w:r>
          </w:p>
        </w:tc>
        <w:tc>
          <w:tcPr>
            <w:tcW w:w="74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74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74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740"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c>
          <w:tcPr>
            <w:tcW w:w="836"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r>
      <w:tr w:rsidR="003C7833">
        <w:trPr>
          <w:trHeight w:val="480"/>
          <w:jc w:val="center"/>
        </w:trPr>
        <w:tc>
          <w:tcPr>
            <w:tcW w:w="2444"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ALIMENTAZIONE</w:t>
            </w:r>
          </w:p>
        </w:tc>
        <w:tc>
          <w:tcPr>
            <w:tcW w:w="98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0</w:t>
            </w:r>
          </w:p>
        </w:tc>
        <w:tc>
          <w:tcPr>
            <w:tcW w:w="90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1</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2</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3</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4</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5</w:t>
            </w:r>
          </w:p>
        </w:tc>
        <w:tc>
          <w:tcPr>
            <w:tcW w:w="740"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6</w:t>
            </w:r>
          </w:p>
        </w:tc>
        <w:tc>
          <w:tcPr>
            <w:tcW w:w="836" w:type="dxa"/>
            <w:tcBorders>
              <w:top w:val="single" w:sz="4" w:space="0" w:color="000000"/>
              <w:left w:val="single" w:sz="4" w:space="0" w:color="000000"/>
              <w:bottom w:val="single" w:sz="4" w:space="0" w:color="000000"/>
              <w:right w:val="single" w:sz="4" w:space="0" w:color="000000"/>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TOTALE</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 xml:space="preserve">BENZINA </w:t>
            </w:r>
          </w:p>
        </w:tc>
        <w:tc>
          <w:tcPr>
            <w:tcW w:w="98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7</w:t>
            </w:r>
          </w:p>
        </w:tc>
        <w:tc>
          <w:tcPr>
            <w:tcW w:w="901"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7</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BENZINA E GAS LIQUIDO</w:t>
            </w:r>
          </w:p>
        </w:tc>
        <w:tc>
          <w:tcPr>
            <w:tcW w:w="98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w:t>
            </w:r>
          </w:p>
        </w:tc>
        <w:tc>
          <w:tcPr>
            <w:tcW w:w="90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BENZINA E METANO</w:t>
            </w:r>
          </w:p>
        </w:tc>
        <w:tc>
          <w:tcPr>
            <w:tcW w:w="98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90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GASOLIO</w:t>
            </w:r>
          </w:p>
        </w:tc>
        <w:tc>
          <w:tcPr>
            <w:tcW w:w="98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454</w:t>
            </w:r>
          </w:p>
        </w:tc>
        <w:tc>
          <w:tcPr>
            <w:tcW w:w="90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90</w:t>
            </w:r>
          </w:p>
        </w:tc>
        <w:tc>
          <w:tcPr>
            <w:tcW w:w="740"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212</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324</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75</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201</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1357</w:t>
            </w:r>
          </w:p>
        </w:tc>
      </w:tr>
      <w:tr w:rsidR="003C7833">
        <w:trPr>
          <w:trHeight w:val="300"/>
          <w:jc w:val="center"/>
        </w:trPr>
        <w:tc>
          <w:tcPr>
            <w:tcW w:w="2444"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b/>
                <w:bCs/>
                <w:sz w:val="18"/>
                <w:szCs w:val="18"/>
              </w:rPr>
            </w:pPr>
            <w:r>
              <w:rPr>
                <w:rFonts w:ascii="Arial" w:hAnsi="Arial" w:cs="Arial"/>
                <w:b/>
                <w:bCs/>
                <w:sz w:val="18"/>
                <w:szCs w:val="18"/>
              </w:rPr>
              <w:t>Totale</w:t>
            </w:r>
          </w:p>
        </w:tc>
        <w:tc>
          <w:tcPr>
            <w:tcW w:w="98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462</w:t>
            </w:r>
          </w:p>
        </w:tc>
        <w:tc>
          <w:tcPr>
            <w:tcW w:w="90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90</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213</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324</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75</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201</w:t>
            </w:r>
          </w:p>
        </w:tc>
        <w:tc>
          <w:tcPr>
            <w:tcW w:w="740"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0</w:t>
            </w:r>
          </w:p>
        </w:tc>
        <w:tc>
          <w:tcPr>
            <w:tcW w:w="836"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sz w:val="18"/>
                <w:szCs w:val="18"/>
              </w:rPr>
            </w:pPr>
            <w:r>
              <w:rPr>
                <w:rFonts w:ascii="Arial" w:hAnsi="Arial" w:cs="Arial"/>
                <w:b/>
                <w:bCs/>
                <w:sz w:val="18"/>
                <w:szCs w:val="18"/>
              </w:rPr>
              <w:t>1366</w:t>
            </w:r>
          </w:p>
        </w:tc>
      </w:tr>
    </w:tbl>
    <w:p w:rsidR="003C7833" w:rsidRDefault="003C7833">
      <w:pPr>
        <w:rPr>
          <w:rFonts w:ascii="Arial" w:hAnsi="Arial" w:cs="Arial"/>
          <w:sz w:val="22"/>
          <w:szCs w:val="22"/>
        </w:rPr>
      </w:pPr>
    </w:p>
    <w:tbl>
      <w:tblPr>
        <w:tblW w:w="0" w:type="auto"/>
        <w:jc w:val="center"/>
        <w:tblBorders>
          <w:top w:val="single" w:sz="4" w:space="0" w:color="000000"/>
          <w:left w:val="single" w:sz="4" w:space="0" w:color="000000"/>
          <w:bottom w:val="single" w:sz="4" w:space="0" w:color="000000"/>
          <w:insideH w:val="single" w:sz="4" w:space="0" w:color="000000"/>
        </w:tblBorders>
        <w:tblCellMar>
          <w:top w:w="15" w:type="dxa"/>
          <w:left w:w="10" w:type="dxa"/>
          <w:right w:w="15" w:type="dxa"/>
        </w:tblCellMar>
        <w:tblLook w:val="0000"/>
      </w:tblPr>
      <w:tblGrid>
        <w:gridCol w:w="6111"/>
        <w:gridCol w:w="850"/>
        <w:gridCol w:w="1134"/>
        <w:gridCol w:w="1002"/>
      </w:tblGrid>
      <w:tr w:rsidR="003C7833">
        <w:trPr>
          <w:trHeight w:val="780"/>
          <w:jc w:val="center"/>
        </w:trPr>
        <w:tc>
          <w:tcPr>
            <w:tcW w:w="6111" w:type="dxa"/>
            <w:tcBorders>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Autocarri pesanti interessati dalle limitazioni del lunedì-venerdì (colore arancio)</w:t>
            </w:r>
          </w:p>
        </w:tc>
        <w:tc>
          <w:tcPr>
            <w:tcW w:w="850"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763</w:t>
            </w:r>
          </w:p>
        </w:tc>
        <w:tc>
          <w:tcPr>
            <w:tcW w:w="1134"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1002" w:type="dxa"/>
            <w:tcBorders>
              <w:left w:val="single" w:sz="4" w:space="0" w:color="000000"/>
              <w:right w:val="single" w:sz="4" w:space="0" w:color="000000"/>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56%</w:t>
            </w:r>
          </w:p>
        </w:tc>
      </w:tr>
      <w:tr w:rsidR="003C7833">
        <w:trPr>
          <w:trHeight w:val="780"/>
          <w:jc w:val="center"/>
        </w:trPr>
        <w:tc>
          <w:tcPr>
            <w:tcW w:w="6111" w:type="dxa"/>
            <w:tcBorders>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Autocarri pesanti interessati dalle limitazioni del giovedì o domenica ecologica (colore arancio + giallo)</w:t>
            </w:r>
          </w:p>
        </w:tc>
        <w:tc>
          <w:tcPr>
            <w:tcW w:w="850"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763</w:t>
            </w:r>
          </w:p>
        </w:tc>
        <w:tc>
          <w:tcPr>
            <w:tcW w:w="1134"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1002" w:type="dxa"/>
            <w:tcBorders>
              <w:left w:val="single" w:sz="4" w:space="0" w:color="000000"/>
              <w:right w:val="single" w:sz="4" w:space="0" w:color="000000"/>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56%</w:t>
            </w:r>
          </w:p>
        </w:tc>
      </w:tr>
    </w:tbl>
    <w:p w:rsidR="003C7833" w:rsidRDefault="003C7833">
      <w:pPr>
        <w:rPr>
          <w:sz w:val="22"/>
          <w:szCs w:val="22"/>
        </w:rPr>
      </w:pPr>
    </w:p>
    <w:p w:rsidR="003C7833" w:rsidRDefault="003C7833">
      <w:pPr>
        <w:pStyle w:val="BodyText3"/>
        <w:rPr>
          <w:sz w:val="22"/>
          <w:szCs w:val="22"/>
        </w:rPr>
      </w:pPr>
      <w:r>
        <w:rPr>
          <w:sz w:val="22"/>
          <w:szCs w:val="22"/>
        </w:rPr>
        <w:t>Analoga elaborazione effettuata all’inizio dell’attivazione dei provvedimenti A.d.P. 2012-2015 utilizzando i dati ACI 2010, aveva evidenziato che gli autocarri pesanti interessati dalle limitazioni (sia del lunedì-venerdì sia del giovedì) rappresentavano il 62%.</w:t>
      </w:r>
    </w:p>
    <w:p w:rsidR="003C7833" w:rsidRDefault="003C7833">
      <w:pPr>
        <w:jc w:val="both"/>
        <w:rPr>
          <w:rFonts w:ascii="Arial" w:hAnsi="Arial" w:cs="Arial"/>
          <w:sz w:val="22"/>
          <w:szCs w:val="22"/>
        </w:rPr>
      </w:pPr>
    </w:p>
    <w:p w:rsidR="003C7833" w:rsidRDefault="003C7833">
      <w:pPr>
        <w:jc w:val="both"/>
        <w:rPr>
          <w:rFonts w:ascii="Arial" w:hAnsi="Arial" w:cs="Arial"/>
          <w:sz w:val="22"/>
          <w:szCs w:val="22"/>
        </w:rPr>
      </w:pPr>
    </w:p>
    <w:p w:rsidR="003C7833" w:rsidRDefault="003C7833">
      <w:pPr>
        <w:jc w:val="both"/>
        <w:rPr>
          <w:rFonts w:ascii="Arial" w:hAnsi="Arial" w:cs="Arial"/>
          <w:sz w:val="22"/>
          <w:szCs w:val="22"/>
        </w:rPr>
      </w:pPr>
    </w:p>
    <w:p w:rsidR="003C7833" w:rsidRDefault="003C7833">
      <w:pPr>
        <w:jc w:val="both"/>
        <w:rPr>
          <w:rFonts w:ascii="Arial" w:hAnsi="Arial" w:cs="Arial"/>
          <w:sz w:val="22"/>
          <w:szCs w:val="22"/>
        </w:rPr>
      </w:pPr>
    </w:p>
    <w:tbl>
      <w:tblPr>
        <w:tblW w:w="0" w:type="auto"/>
        <w:jc w:val="center"/>
        <w:tblCellMar>
          <w:top w:w="15" w:type="dxa"/>
          <w:left w:w="15" w:type="dxa"/>
          <w:right w:w="15" w:type="dxa"/>
        </w:tblCellMar>
        <w:tblLook w:val="0000"/>
      </w:tblPr>
      <w:tblGrid>
        <w:gridCol w:w="1061"/>
        <w:gridCol w:w="1061"/>
        <w:gridCol w:w="1061"/>
        <w:gridCol w:w="1061"/>
        <w:gridCol w:w="741"/>
        <w:gridCol w:w="1065"/>
      </w:tblGrid>
      <w:tr w:rsidR="003C7833" w:rsidRPr="005C7B9D">
        <w:trPr>
          <w:trHeight w:val="405"/>
          <w:jc w:val="center"/>
        </w:trPr>
        <w:tc>
          <w:tcPr>
            <w:tcW w:w="4985" w:type="dxa"/>
            <w:gridSpan w:val="5"/>
            <w:tcBorders>
              <w:top w:val="nil"/>
              <w:left w:val="nil"/>
              <w:bottom w:val="nil"/>
              <w:right w:val="nil"/>
            </w:tcBorders>
            <w:vAlign w:val="bottom"/>
          </w:tcPr>
          <w:p w:rsidR="003C7833" w:rsidRPr="005C7B9D" w:rsidRDefault="003C7833">
            <w:pPr>
              <w:rPr>
                <w:rFonts w:ascii="Arial" w:hAnsi="Arial" w:cs="Arial"/>
                <w:b/>
                <w:bCs/>
              </w:rPr>
            </w:pPr>
            <w:r w:rsidRPr="005C7B9D">
              <w:rPr>
                <w:rFonts w:ascii="Arial" w:hAnsi="Arial" w:cs="Arial"/>
                <w:b/>
                <w:bCs/>
                <w:sz w:val="22"/>
                <w:szCs w:val="22"/>
              </w:rPr>
              <w:t>Motocicli circolanti nel Comune di Piacenza - Dati 2013</w:t>
            </w:r>
          </w:p>
        </w:tc>
        <w:tc>
          <w:tcPr>
            <w:tcW w:w="1065" w:type="dxa"/>
            <w:tcBorders>
              <w:top w:val="nil"/>
              <w:left w:val="nil"/>
              <w:bottom w:val="nil"/>
              <w:right w:val="nil"/>
            </w:tcBorders>
            <w:vAlign w:val="bottom"/>
          </w:tcPr>
          <w:p w:rsidR="003C7833" w:rsidRPr="005C7B9D" w:rsidRDefault="003C7833">
            <w:pPr>
              <w:snapToGrid w:val="0"/>
              <w:rPr>
                <w:rFonts w:ascii="Arial" w:eastAsia="Arial Unicode MS" w:hAnsi="Arial"/>
                <w:b/>
                <w:bCs/>
              </w:rPr>
            </w:pPr>
          </w:p>
        </w:tc>
      </w:tr>
      <w:tr w:rsidR="003C7833">
        <w:trPr>
          <w:trHeight w:val="405"/>
          <w:jc w:val="center"/>
        </w:trPr>
        <w:tc>
          <w:tcPr>
            <w:tcW w:w="106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0</w:t>
            </w:r>
          </w:p>
        </w:tc>
        <w:tc>
          <w:tcPr>
            <w:tcW w:w="106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1</w:t>
            </w:r>
          </w:p>
        </w:tc>
        <w:tc>
          <w:tcPr>
            <w:tcW w:w="106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2</w:t>
            </w:r>
          </w:p>
        </w:tc>
        <w:tc>
          <w:tcPr>
            <w:tcW w:w="106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3</w:t>
            </w:r>
          </w:p>
        </w:tc>
        <w:tc>
          <w:tcPr>
            <w:tcW w:w="741" w:type="dxa"/>
            <w:tcBorders>
              <w:top w:val="single" w:sz="4" w:space="0" w:color="000000"/>
              <w:left w:val="single" w:sz="4" w:space="0" w:color="000000"/>
              <w:bottom w:val="single" w:sz="4" w:space="0" w:color="000000"/>
              <w:right w:val="nil"/>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EURO 5</w:t>
            </w:r>
          </w:p>
        </w:tc>
        <w:tc>
          <w:tcPr>
            <w:tcW w:w="1065" w:type="dxa"/>
            <w:tcBorders>
              <w:top w:val="single" w:sz="4" w:space="0" w:color="000000"/>
              <w:left w:val="single" w:sz="4" w:space="0" w:color="000000"/>
              <w:bottom w:val="single" w:sz="4" w:space="0" w:color="000000"/>
              <w:right w:val="single" w:sz="4" w:space="0" w:color="000000"/>
            </w:tcBorders>
            <w:tcMar>
              <w:left w:w="10" w:type="dxa"/>
            </w:tcMar>
            <w:vAlign w:val="center"/>
          </w:tcPr>
          <w:p w:rsidR="003C7833" w:rsidRDefault="003C7833">
            <w:pPr>
              <w:jc w:val="center"/>
              <w:rPr>
                <w:rFonts w:ascii="Arial" w:hAnsi="Arial" w:cs="Arial"/>
                <w:b/>
                <w:bCs/>
                <w:sz w:val="18"/>
                <w:szCs w:val="18"/>
              </w:rPr>
            </w:pPr>
            <w:r>
              <w:rPr>
                <w:rFonts w:ascii="Arial" w:hAnsi="Arial" w:cs="Arial"/>
                <w:b/>
                <w:bCs/>
                <w:sz w:val="18"/>
                <w:szCs w:val="18"/>
              </w:rPr>
              <w:t>TOTALE</w:t>
            </w:r>
          </w:p>
        </w:tc>
      </w:tr>
      <w:tr w:rsidR="003C7833">
        <w:trPr>
          <w:trHeight w:val="300"/>
          <w:jc w:val="center"/>
        </w:trPr>
        <w:tc>
          <w:tcPr>
            <w:tcW w:w="1061" w:type="dxa"/>
            <w:tcBorders>
              <w:top w:val="nil"/>
              <w:left w:val="single" w:sz="4" w:space="0" w:color="000000"/>
              <w:bottom w:val="single" w:sz="4" w:space="0" w:color="000000"/>
              <w:right w:val="nil"/>
            </w:tcBorders>
            <w:shd w:val="clear" w:color="auto" w:fill="FF99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4.159</w:t>
            </w:r>
          </w:p>
        </w:tc>
        <w:tc>
          <w:tcPr>
            <w:tcW w:w="1061" w:type="dxa"/>
            <w:tcBorders>
              <w:top w:val="nil"/>
              <w:left w:val="single" w:sz="4" w:space="0" w:color="000000"/>
              <w:bottom w:val="single" w:sz="4" w:space="0" w:color="000000"/>
              <w:right w:val="nil"/>
            </w:tcBorders>
            <w:shd w:val="clear" w:color="auto" w:fill="FFCC00"/>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1.741</w:t>
            </w:r>
          </w:p>
        </w:tc>
        <w:tc>
          <w:tcPr>
            <w:tcW w:w="106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1.391</w:t>
            </w:r>
          </w:p>
        </w:tc>
        <w:tc>
          <w:tcPr>
            <w:tcW w:w="1061" w:type="dxa"/>
            <w:tcBorders>
              <w:top w:val="nil"/>
              <w:left w:val="single" w:sz="4" w:space="0" w:color="000000"/>
              <w:bottom w:val="single" w:sz="4" w:space="0" w:color="000000"/>
              <w:right w:val="nil"/>
            </w:tcBorders>
            <w:tcMar>
              <w:left w:w="10" w:type="dxa"/>
            </w:tcMar>
            <w:vAlign w:val="bottom"/>
          </w:tcPr>
          <w:p w:rsidR="003C7833" w:rsidRDefault="003C7833">
            <w:pPr>
              <w:jc w:val="right"/>
              <w:rPr>
                <w:rFonts w:ascii="Arial" w:hAnsi="Arial" w:cs="Arial"/>
                <w:sz w:val="18"/>
                <w:szCs w:val="18"/>
              </w:rPr>
            </w:pPr>
            <w:r>
              <w:rPr>
                <w:rFonts w:ascii="Arial" w:hAnsi="Arial" w:cs="Arial"/>
                <w:sz w:val="18"/>
                <w:szCs w:val="18"/>
              </w:rPr>
              <w:t>3.235</w:t>
            </w:r>
          </w:p>
        </w:tc>
        <w:tc>
          <w:tcPr>
            <w:tcW w:w="741" w:type="dxa"/>
            <w:tcBorders>
              <w:top w:val="nil"/>
              <w:left w:val="single" w:sz="4" w:space="0" w:color="000000"/>
              <w:bottom w:val="single" w:sz="4" w:space="0" w:color="000000"/>
              <w:right w:val="nil"/>
            </w:tcBorders>
            <w:tcMar>
              <w:left w:w="10" w:type="dxa"/>
            </w:tcMar>
            <w:vAlign w:val="bottom"/>
          </w:tcPr>
          <w:p w:rsidR="003C7833" w:rsidRDefault="003C7833">
            <w:pPr>
              <w:rPr>
                <w:rFonts w:ascii="Arial" w:hAnsi="Arial" w:cs="Arial"/>
                <w:sz w:val="18"/>
                <w:szCs w:val="18"/>
              </w:rPr>
            </w:pPr>
            <w:r>
              <w:rPr>
                <w:rFonts w:ascii="Arial" w:hAnsi="Arial" w:cs="Arial"/>
                <w:sz w:val="18"/>
                <w:szCs w:val="18"/>
              </w:rPr>
              <w:t> </w:t>
            </w:r>
          </w:p>
        </w:tc>
        <w:tc>
          <w:tcPr>
            <w:tcW w:w="1065" w:type="dxa"/>
            <w:tcBorders>
              <w:top w:val="nil"/>
              <w:left w:val="single" w:sz="4" w:space="0" w:color="000000"/>
              <w:bottom w:val="single" w:sz="4" w:space="0" w:color="000000"/>
              <w:right w:val="single" w:sz="4" w:space="0" w:color="000000"/>
            </w:tcBorders>
            <w:tcMar>
              <w:left w:w="10" w:type="dxa"/>
            </w:tcMar>
            <w:vAlign w:val="bottom"/>
          </w:tcPr>
          <w:p w:rsidR="003C7833" w:rsidRDefault="003C7833">
            <w:pPr>
              <w:jc w:val="right"/>
              <w:rPr>
                <w:rFonts w:ascii="Arial" w:hAnsi="Arial" w:cs="Arial"/>
                <w:b/>
                <w:bCs/>
                <w:color w:val="000000"/>
                <w:sz w:val="18"/>
                <w:szCs w:val="18"/>
              </w:rPr>
            </w:pPr>
            <w:r>
              <w:rPr>
                <w:rFonts w:ascii="Arial" w:hAnsi="Arial" w:cs="Arial"/>
                <w:b/>
                <w:bCs/>
                <w:color w:val="000000"/>
                <w:sz w:val="18"/>
                <w:szCs w:val="18"/>
              </w:rPr>
              <w:t>10.526</w:t>
            </w:r>
          </w:p>
        </w:tc>
      </w:tr>
    </w:tbl>
    <w:p w:rsidR="003C7833" w:rsidRDefault="003C7833">
      <w:pPr>
        <w:rPr>
          <w:rFonts w:ascii="Arial" w:hAnsi="Arial" w:cs="Arial"/>
          <w:sz w:val="22"/>
          <w:szCs w:val="22"/>
        </w:rPr>
      </w:pPr>
    </w:p>
    <w:p w:rsidR="003C7833" w:rsidRDefault="003C7833">
      <w:pPr>
        <w:rPr>
          <w:rFonts w:ascii="Arial" w:hAnsi="Arial" w:cs="Arial"/>
          <w:sz w:val="22"/>
          <w:szCs w:val="22"/>
        </w:rPr>
      </w:pPr>
    </w:p>
    <w:tbl>
      <w:tblPr>
        <w:tblW w:w="0" w:type="auto"/>
        <w:jc w:val="center"/>
        <w:tblBorders>
          <w:top w:val="single" w:sz="4" w:space="0" w:color="000000"/>
          <w:left w:val="single" w:sz="4" w:space="0" w:color="000000"/>
          <w:bottom w:val="single" w:sz="4" w:space="0" w:color="000000"/>
          <w:insideH w:val="single" w:sz="4" w:space="0" w:color="000000"/>
        </w:tblBorders>
        <w:tblCellMar>
          <w:top w:w="15" w:type="dxa"/>
          <w:left w:w="10" w:type="dxa"/>
          <w:right w:w="15" w:type="dxa"/>
        </w:tblCellMar>
        <w:tblLook w:val="0000"/>
      </w:tblPr>
      <w:tblGrid>
        <w:gridCol w:w="6111"/>
        <w:gridCol w:w="850"/>
        <w:gridCol w:w="1134"/>
        <w:gridCol w:w="1002"/>
      </w:tblGrid>
      <w:tr w:rsidR="003C7833">
        <w:trPr>
          <w:trHeight w:val="780"/>
          <w:jc w:val="center"/>
        </w:trPr>
        <w:tc>
          <w:tcPr>
            <w:tcW w:w="6111" w:type="dxa"/>
            <w:tcBorders>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Motocicli interessati dalle limitazioni del lunedì-venerdì (colore arancio)</w:t>
            </w:r>
          </w:p>
        </w:tc>
        <w:tc>
          <w:tcPr>
            <w:tcW w:w="850"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4159</w:t>
            </w:r>
          </w:p>
        </w:tc>
        <w:tc>
          <w:tcPr>
            <w:tcW w:w="1134"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1002" w:type="dxa"/>
            <w:tcBorders>
              <w:left w:val="single" w:sz="4" w:space="0" w:color="000000"/>
              <w:right w:val="single" w:sz="4" w:space="0" w:color="000000"/>
            </w:tcBorders>
            <w:shd w:val="clear" w:color="auto" w:fill="FF9900"/>
            <w:tcMar>
              <w:left w:w="10" w:type="dxa"/>
            </w:tcMar>
            <w:vAlign w:val="center"/>
          </w:tcPr>
          <w:p w:rsidR="003C7833" w:rsidRDefault="003C7833">
            <w:pPr>
              <w:jc w:val="center"/>
              <w:rPr>
                <w:rFonts w:ascii="Arial" w:hAnsi="Arial" w:cs="Arial"/>
              </w:rPr>
            </w:pPr>
            <w:r>
              <w:rPr>
                <w:rFonts w:ascii="Arial" w:hAnsi="Arial" w:cs="Arial"/>
                <w:sz w:val="22"/>
                <w:szCs w:val="22"/>
              </w:rPr>
              <w:t>40%</w:t>
            </w:r>
          </w:p>
        </w:tc>
      </w:tr>
      <w:tr w:rsidR="003C7833">
        <w:trPr>
          <w:trHeight w:val="780"/>
          <w:jc w:val="center"/>
        </w:trPr>
        <w:tc>
          <w:tcPr>
            <w:tcW w:w="6111" w:type="dxa"/>
            <w:tcBorders>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Motocicli interessati dalle limitazioni del giovedì o domenica ecologica (colore arancio + giallo)</w:t>
            </w:r>
          </w:p>
        </w:tc>
        <w:tc>
          <w:tcPr>
            <w:tcW w:w="850"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5900</w:t>
            </w:r>
          </w:p>
        </w:tc>
        <w:tc>
          <w:tcPr>
            <w:tcW w:w="1134"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 sul tot auto</w:t>
            </w:r>
          </w:p>
        </w:tc>
        <w:tc>
          <w:tcPr>
            <w:tcW w:w="1002" w:type="dxa"/>
            <w:tcBorders>
              <w:left w:val="single" w:sz="4" w:space="0" w:color="000000"/>
              <w:right w:val="single" w:sz="4" w:space="0" w:color="000000"/>
            </w:tcBorders>
            <w:shd w:val="clear" w:color="auto" w:fill="FFCC00"/>
            <w:tcMar>
              <w:left w:w="10" w:type="dxa"/>
            </w:tcMar>
            <w:vAlign w:val="center"/>
          </w:tcPr>
          <w:p w:rsidR="003C7833" w:rsidRDefault="003C7833">
            <w:pPr>
              <w:jc w:val="center"/>
              <w:rPr>
                <w:rFonts w:ascii="Arial" w:hAnsi="Arial" w:cs="Arial"/>
              </w:rPr>
            </w:pPr>
            <w:r>
              <w:rPr>
                <w:rFonts w:ascii="Arial" w:hAnsi="Arial" w:cs="Arial"/>
                <w:sz w:val="22"/>
                <w:szCs w:val="22"/>
              </w:rPr>
              <w:t>56%</w:t>
            </w:r>
          </w:p>
        </w:tc>
      </w:tr>
    </w:tbl>
    <w:p w:rsidR="003C7833" w:rsidRDefault="003C7833">
      <w:pPr>
        <w:rPr>
          <w:sz w:val="22"/>
          <w:szCs w:val="22"/>
        </w:rPr>
      </w:pPr>
    </w:p>
    <w:p w:rsidR="003C7833" w:rsidRDefault="003C7833">
      <w:pPr>
        <w:pStyle w:val="BodyText3"/>
        <w:rPr>
          <w:sz w:val="22"/>
          <w:szCs w:val="22"/>
        </w:rPr>
      </w:pPr>
      <w:r>
        <w:rPr>
          <w:sz w:val="22"/>
          <w:szCs w:val="22"/>
        </w:rPr>
        <w:t>Analoga elaborazione effettuata all’inizio dell’attivazione dei provvedimenti AdP 2012-2015 utilizzando i dati ACI 2010, aveva evidenziato che i motocicli interessati dalle limitazioni del lunedì-venerdì rappresentavano il 47% mentre quelli interessati dalle limitazioni del giovedì costituivano il 62%.</w:t>
      </w: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pStyle w:val="BodyText3"/>
        <w:rPr>
          <w:sz w:val="22"/>
          <w:szCs w:val="22"/>
        </w:rPr>
      </w:pPr>
    </w:p>
    <w:p w:rsidR="003C7833" w:rsidRDefault="003C7833">
      <w:pPr>
        <w:rPr>
          <w:rFonts w:ascii="Arial" w:hAnsi="Arial" w:cs="Arial"/>
          <w:sz w:val="22"/>
          <w:szCs w:val="22"/>
        </w:rPr>
      </w:pPr>
    </w:p>
    <w:tbl>
      <w:tblPr>
        <w:tblW w:w="0" w:type="auto"/>
        <w:jc w:val="center"/>
        <w:tblBorders>
          <w:top w:val="single" w:sz="4" w:space="0" w:color="000000"/>
          <w:left w:val="single" w:sz="4" w:space="0" w:color="000000"/>
          <w:bottom w:val="single" w:sz="4" w:space="0" w:color="000000"/>
          <w:insideH w:val="single" w:sz="4" w:space="0" w:color="000000"/>
        </w:tblBorders>
        <w:tblCellMar>
          <w:top w:w="15" w:type="dxa"/>
          <w:left w:w="10" w:type="dxa"/>
          <w:right w:w="15" w:type="dxa"/>
        </w:tblCellMar>
        <w:tblLook w:val="0000"/>
      </w:tblPr>
      <w:tblGrid>
        <w:gridCol w:w="2940"/>
        <w:gridCol w:w="880"/>
        <w:gridCol w:w="1214"/>
        <w:gridCol w:w="1126"/>
      </w:tblGrid>
      <w:tr w:rsidR="003C7833">
        <w:trPr>
          <w:trHeight w:val="300"/>
          <w:jc w:val="center"/>
        </w:trPr>
        <w:tc>
          <w:tcPr>
            <w:tcW w:w="2940" w:type="dxa"/>
            <w:tcBorders>
              <w:right w:val="nil"/>
            </w:tcBorders>
            <w:tcMar>
              <w:left w:w="10" w:type="dxa"/>
            </w:tcMar>
            <w:vAlign w:val="center"/>
          </w:tcPr>
          <w:p w:rsidR="003C7833" w:rsidRDefault="003C7833">
            <w:pPr>
              <w:jc w:val="center"/>
              <w:rPr>
                <w:rFonts w:ascii="Arial" w:hAnsi="Arial" w:cs="Arial"/>
                <w:b/>
                <w:bCs/>
              </w:rPr>
            </w:pPr>
            <w:r>
              <w:rPr>
                <w:rFonts w:ascii="Arial" w:hAnsi="Arial" w:cs="Arial"/>
                <w:b/>
                <w:bCs/>
                <w:sz w:val="22"/>
                <w:szCs w:val="22"/>
              </w:rPr>
              <w:t>Dati anno 2010</w:t>
            </w:r>
          </w:p>
          <w:p w:rsidR="003C7833" w:rsidRDefault="003C7833">
            <w:pPr>
              <w:jc w:val="center"/>
              <w:rPr>
                <w:rFonts w:ascii="Arial" w:hAnsi="Arial" w:cs="Arial"/>
                <w:b/>
                <w:bCs/>
              </w:rPr>
            </w:pPr>
            <w:r>
              <w:rPr>
                <w:rFonts w:ascii="Arial" w:hAnsi="Arial" w:cs="Arial"/>
                <w:b/>
                <w:bCs/>
                <w:sz w:val="22"/>
                <w:szCs w:val="22"/>
              </w:rPr>
              <w:t>Totale veicoli circolanti Comune di Piacenza</w:t>
            </w:r>
          </w:p>
          <w:p w:rsidR="003C7833" w:rsidRDefault="003C7833">
            <w:pPr>
              <w:jc w:val="center"/>
              <w:rPr>
                <w:rFonts w:ascii="Arial" w:eastAsia="Arial Unicode MS" w:hAnsi="Arial"/>
                <w:b/>
                <w:bCs/>
              </w:rPr>
            </w:pPr>
          </w:p>
        </w:tc>
        <w:tc>
          <w:tcPr>
            <w:tcW w:w="880" w:type="dxa"/>
            <w:tcBorders>
              <w:left w:val="single" w:sz="4" w:space="0" w:color="000000"/>
              <w:right w:val="nil"/>
            </w:tcBorders>
            <w:tcMar>
              <w:left w:w="10" w:type="dxa"/>
            </w:tcMar>
            <w:vAlign w:val="center"/>
          </w:tcPr>
          <w:p w:rsidR="003C7833" w:rsidRDefault="003C7833">
            <w:pPr>
              <w:jc w:val="center"/>
              <w:rPr>
                <w:rFonts w:ascii="Arial" w:hAnsi="Arial" w:cs="Arial"/>
                <w:b/>
                <w:bCs/>
                <w:color w:val="000000"/>
              </w:rPr>
            </w:pPr>
            <w:r>
              <w:rPr>
                <w:rFonts w:ascii="Arial" w:hAnsi="Arial" w:cs="Arial"/>
                <w:b/>
                <w:bCs/>
                <w:color w:val="000000"/>
                <w:sz w:val="22"/>
                <w:szCs w:val="22"/>
              </w:rPr>
              <w:t>79.740</w:t>
            </w:r>
          </w:p>
        </w:tc>
        <w:tc>
          <w:tcPr>
            <w:tcW w:w="1214" w:type="dxa"/>
            <w:tcBorders>
              <w:left w:val="single" w:sz="4" w:space="0" w:color="000000"/>
              <w:right w:val="nil"/>
            </w:tcBorders>
            <w:tcMar>
              <w:top w:w="0" w:type="dxa"/>
              <w:left w:w="-5" w:type="dxa"/>
              <w:right w:w="0" w:type="dxa"/>
            </w:tcMar>
            <w:vAlign w:val="center"/>
          </w:tcPr>
          <w:p w:rsidR="003C7833" w:rsidRDefault="003C7833">
            <w:pPr>
              <w:jc w:val="center"/>
              <w:rPr>
                <w:rFonts w:ascii="Arial" w:hAnsi="Arial" w:cs="Arial"/>
                <w:b/>
                <w:bCs/>
              </w:rPr>
            </w:pPr>
            <w:r>
              <w:rPr>
                <w:rFonts w:ascii="Arial" w:hAnsi="Arial" w:cs="Arial"/>
                <w:b/>
                <w:bCs/>
                <w:sz w:val="22"/>
                <w:szCs w:val="22"/>
              </w:rPr>
              <w:t xml:space="preserve">% veicoli interessati sul tot </w:t>
            </w:r>
          </w:p>
        </w:tc>
        <w:tc>
          <w:tcPr>
            <w:tcW w:w="1041" w:type="dxa"/>
            <w:tcBorders>
              <w:left w:val="nil"/>
              <w:right w:val="single" w:sz="4" w:space="0" w:color="000000"/>
            </w:tcBorders>
            <w:vAlign w:val="center"/>
          </w:tcPr>
          <w:p w:rsidR="003C7833" w:rsidRDefault="003C7833">
            <w:pPr>
              <w:jc w:val="center"/>
              <w:rPr>
                <w:rFonts w:ascii="Arial" w:eastAsia="Arial Unicode MS" w:hAnsi="Arial"/>
                <w:b/>
                <w:bCs/>
              </w:rPr>
            </w:pPr>
            <w:r>
              <w:rPr>
                <w:rFonts w:ascii="Arial" w:eastAsia="Arial Unicode MS" w:hAnsi="Arial" w:cs="Arial"/>
                <w:b/>
                <w:bCs/>
                <w:sz w:val="22"/>
                <w:szCs w:val="22"/>
              </w:rPr>
              <w:t>Variazione emissioni PM10</w:t>
            </w:r>
          </w:p>
        </w:tc>
      </w:tr>
      <w:tr w:rsidR="003C7833">
        <w:trPr>
          <w:trHeight w:val="780"/>
          <w:jc w:val="center"/>
        </w:trPr>
        <w:tc>
          <w:tcPr>
            <w:tcW w:w="2940" w:type="dxa"/>
            <w:tcBorders>
              <w:right w:val="nil"/>
            </w:tcBorders>
            <w:shd w:val="clear" w:color="auto" w:fill="FF9900"/>
            <w:tcMar>
              <w:left w:w="10" w:type="dxa"/>
            </w:tcMar>
            <w:vAlign w:val="center"/>
          </w:tcPr>
          <w:p w:rsidR="003C7833" w:rsidRDefault="003C7833">
            <w:pPr>
              <w:jc w:val="center"/>
              <w:rPr>
                <w:rFonts w:ascii="Arial" w:hAnsi="Arial" w:cs="Arial"/>
                <w:b/>
                <w:bCs/>
              </w:rPr>
            </w:pPr>
            <w:r>
              <w:rPr>
                <w:rFonts w:ascii="Arial" w:hAnsi="Arial" w:cs="Arial"/>
                <w:b/>
                <w:bCs/>
                <w:sz w:val="22"/>
                <w:szCs w:val="22"/>
              </w:rPr>
              <w:t>Totale veicoli interessati dalle limitazioni del lunedì-venerdì</w:t>
            </w:r>
          </w:p>
        </w:tc>
        <w:tc>
          <w:tcPr>
            <w:tcW w:w="880"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b/>
                <w:bCs/>
                <w:color w:val="000000"/>
              </w:rPr>
            </w:pPr>
            <w:r>
              <w:rPr>
                <w:rFonts w:ascii="Arial" w:hAnsi="Arial" w:cs="Arial"/>
                <w:b/>
                <w:bCs/>
                <w:color w:val="000000"/>
                <w:sz w:val="22"/>
                <w:szCs w:val="22"/>
              </w:rPr>
              <w:t>17.638</w:t>
            </w:r>
          </w:p>
        </w:tc>
        <w:tc>
          <w:tcPr>
            <w:tcW w:w="1214" w:type="dxa"/>
            <w:tcBorders>
              <w:left w:val="single" w:sz="4" w:space="0" w:color="000000"/>
              <w:right w:val="nil"/>
            </w:tcBorders>
            <w:shd w:val="clear" w:color="auto" w:fill="FF9900"/>
            <w:tcMar>
              <w:top w:w="0" w:type="dxa"/>
              <w:left w:w="-5" w:type="dxa"/>
              <w:right w:w="0" w:type="dxa"/>
            </w:tcMar>
            <w:vAlign w:val="center"/>
          </w:tcPr>
          <w:p w:rsidR="003C7833" w:rsidRDefault="003C7833">
            <w:pPr>
              <w:jc w:val="center"/>
              <w:rPr>
                <w:rFonts w:ascii="Arial" w:hAnsi="Arial" w:cs="Arial"/>
                <w:b/>
                <w:bCs/>
                <w:color w:val="000000"/>
              </w:rPr>
            </w:pPr>
            <w:r>
              <w:rPr>
                <w:rFonts w:ascii="Arial" w:hAnsi="Arial" w:cs="Arial"/>
                <w:b/>
                <w:bCs/>
                <w:color w:val="000000"/>
                <w:sz w:val="22"/>
                <w:szCs w:val="22"/>
              </w:rPr>
              <w:t>22%</w:t>
            </w:r>
          </w:p>
        </w:tc>
        <w:tc>
          <w:tcPr>
            <w:tcW w:w="1041" w:type="dxa"/>
            <w:tcBorders>
              <w:left w:val="nil"/>
              <w:right w:val="single" w:sz="4" w:space="0" w:color="000000"/>
            </w:tcBorders>
            <w:shd w:val="clear" w:color="auto" w:fill="FF9900"/>
            <w:vAlign w:val="center"/>
          </w:tcPr>
          <w:p w:rsidR="003C7833" w:rsidRDefault="003C7833">
            <w:pPr>
              <w:jc w:val="center"/>
              <w:rPr>
                <w:rFonts w:ascii="Arial" w:hAnsi="Arial" w:cs="Arial"/>
                <w:b/>
                <w:bCs/>
                <w:color w:val="000000"/>
              </w:rPr>
            </w:pPr>
            <w:r>
              <w:rPr>
                <w:rFonts w:ascii="Arial" w:hAnsi="Arial" w:cs="Arial"/>
                <w:b/>
                <w:bCs/>
                <w:color w:val="000000"/>
                <w:sz w:val="22"/>
                <w:szCs w:val="22"/>
              </w:rPr>
              <w:t>-43%</w:t>
            </w:r>
          </w:p>
        </w:tc>
      </w:tr>
      <w:tr w:rsidR="003C7833">
        <w:trPr>
          <w:trHeight w:val="780"/>
          <w:jc w:val="center"/>
        </w:trPr>
        <w:tc>
          <w:tcPr>
            <w:tcW w:w="2940" w:type="dxa"/>
            <w:tcBorders>
              <w:right w:val="nil"/>
            </w:tcBorders>
            <w:shd w:val="clear" w:color="auto" w:fill="FFCC00"/>
            <w:tcMar>
              <w:left w:w="10" w:type="dxa"/>
            </w:tcMar>
            <w:vAlign w:val="center"/>
          </w:tcPr>
          <w:p w:rsidR="003C7833" w:rsidRDefault="003C7833">
            <w:pPr>
              <w:jc w:val="center"/>
              <w:rPr>
                <w:rFonts w:ascii="Arial" w:hAnsi="Arial" w:cs="Arial"/>
                <w:b/>
                <w:bCs/>
              </w:rPr>
            </w:pPr>
            <w:r>
              <w:rPr>
                <w:rFonts w:ascii="Arial" w:hAnsi="Arial" w:cs="Arial"/>
                <w:b/>
                <w:bCs/>
                <w:sz w:val="22"/>
                <w:szCs w:val="22"/>
              </w:rPr>
              <w:t>Totale veicoli interessati dalle limitazioni del giovedì o domenica ecologica</w:t>
            </w:r>
          </w:p>
        </w:tc>
        <w:tc>
          <w:tcPr>
            <w:tcW w:w="880"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b/>
                <w:bCs/>
                <w:color w:val="000000"/>
              </w:rPr>
            </w:pPr>
            <w:r>
              <w:rPr>
                <w:rFonts w:ascii="Arial" w:hAnsi="Arial" w:cs="Arial"/>
                <w:b/>
                <w:bCs/>
                <w:color w:val="000000"/>
                <w:sz w:val="22"/>
                <w:szCs w:val="22"/>
              </w:rPr>
              <w:t>40.906</w:t>
            </w:r>
          </w:p>
        </w:tc>
        <w:tc>
          <w:tcPr>
            <w:tcW w:w="1214" w:type="dxa"/>
            <w:tcBorders>
              <w:left w:val="single" w:sz="4" w:space="0" w:color="000000"/>
              <w:right w:val="nil"/>
            </w:tcBorders>
            <w:shd w:val="clear" w:color="auto" w:fill="FFCC00"/>
            <w:tcMar>
              <w:top w:w="0" w:type="dxa"/>
              <w:left w:w="-5" w:type="dxa"/>
              <w:right w:w="0" w:type="dxa"/>
            </w:tcMar>
            <w:vAlign w:val="center"/>
          </w:tcPr>
          <w:p w:rsidR="003C7833" w:rsidRDefault="003C7833">
            <w:pPr>
              <w:jc w:val="center"/>
              <w:rPr>
                <w:rFonts w:ascii="Arial" w:hAnsi="Arial" w:cs="Arial"/>
                <w:b/>
                <w:bCs/>
                <w:color w:val="000000"/>
              </w:rPr>
            </w:pPr>
            <w:r>
              <w:rPr>
                <w:rFonts w:ascii="Arial" w:hAnsi="Arial" w:cs="Arial"/>
                <w:b/>
                <w:bCs/>
                <w:color w:val="000000"/>
                <w:sz w:val="22"/>
                <w:szCs w:val="22"/>
              </w:rPr>
              <w:t>51%</w:t>
            </w:r>
          </w:p>
        </w:tc>
        <w:tc>
          <w:tcPr>
            <w:tcW w:w="1041" w:type="dxa"/>
            <w:tcBorders>
              <w:left w:val="nil"/>
              <w:right w:val="single" w:sz="4" w:space="0" w:color="000000"/>
            </w:tcBorders>
            <w:shd w:val="clear" w:color="auto" w:fill="FFCC00"/>
            <w:vAlign w:val="center"/>
          </w:tcPr>
          <w:p w:rsidR="003C7833" w:rsidRDefault="003C7833">
            <w:pPr>
              <w:jc w:val="center"/>
              <w:rPr>
                <w:rFonts w:ascii="Arial" w:hAnsi="Arial" w:cs="Arial"/>
                <w:b/>
                <w:bCs/>
                <w:color w:val="000000"/>
              </w:rPr>
            </w:pPr>
            <w:r>
              <w:rPr>
                <w:rFonts w:ascii="Arial" w:hAnsi="Arial" w:cs="Arial"/>
                <w:b/>
                <w:bCs/>
                <w:color w:val="000000"/>
                <w:sz w:val="22"/>
                <w:szCs w:val="22"/>
              </w:rPr>
              <w:t>-58%</w:t>
            </w:r>
          </w:p>
        </w:tc>
      </w:tr>
    </w:tbl>
    <w:p w:rsidR="003C7833" w:rsidRDefault="003C7833">
      <w:pPr>
        <w:rPr>
          <w:rFonts w:ascii="Arial" w:hAnsi="Arial" w:cs="Arial"/>
          <w:sz w:val="22"/>
          <w:szCs w:val="22"/>
        </w:rPr>
      </w:pPr>
    </w:p>
    <w:p w:rsidR="003C7833" w:rsidRDefault="003C7833">
      <w:pPr>
        <w:rPr>
          <w:rFonts w:ascii="Arial" w:hAnsi="Arial" w:cs="Arial"/>
          <w:sz w:val="22"/>
          <w:szCs w:val="22"/>
        </w:rPr>
      </w:pPr>
    </w:p>
    <w:tbl>
      <w:tblPr>
        <w:tblW w:w="0" w:type="auto"/>
        <w:jc w:val="center"/>
        <w:tblBorders>
          <w:top w:val="single" w:sz="4" w:space="0" w:color="000000"/>
          <w:left w:val="single" w:sz="4" w:space="0" w:color="000000"/>
          <w:bottom w:val="single" w:sz="4" w:space="0" w:color="000000"/>
          <w:insideH w:val="single" w:sz="4" w:space="0" w:color="000000"/>
        </w:tblBorders>
        <w:tblCellMar>
          <w:top w:w="15" w:type="dxa"/>
          <w:left w:w="10" w:type="dxa"/>
          <w:right w:w="15" w:type="dxa"/>
        </w:tblCellMar>
        <w:tblLook w:val="0000"/>
      </w:tblPr>
      <w:tblGrid>
        <w:gridCol w:w="2985"/>
        <w:gridCol w:w="880"/>
        <w:gridCol w:w="1214"/>
        <w:gridCol w:w="1126"/>
      </w:tblGrid>
      <w:tr w:rsidR="003C7833">
        <w:trPr>
          <w:trHeight w:val="300"/>
          <w:jc w:val="center"/>
        </w:trPr>
        <w:tc>
          <w:tcPr>
            <w:tcW w:w="2985" w:type="dxa"/>
            <w:tcBorders>
              <w:right w:val="nil"/>
            </w:tcBorders>
            <w:tcMar>
              <w:left w:w="10" w:type="dxa"/>
            </w:tcMar>
            <w:vAlign w:val="center"/>
          </w:tcPr>
          <w:p w:rsidR="003C7833" w:rsidRDefault="003C7833">
            <w:pPr>
              <w:jc w:val="center"/>
              <w:rPr>
                <w:rFonts w:ascii="Arial" w:hAnsi="Arial" w:cs="Arial"/>
                <w:b/>
                <w:bCs/>
              </w:rPr>
            </w:pPr>
            <w:r>
              <w:rPr>
                <w:rFonts w:ascii="Arial" w:hAnsi="Arial" w:cs="Arial"/>
                <w:b/>
                <w:bCs/>
                <w:sz w:val="22"/>
                <w:szCs w:val="22"/>
              </w:rPr>
              <w:t>Dati anno 2013</w:t>
            </w:r>
          </w:p>
          <w:p w:rsidR="003C7833" w:rsidRDefault="003C7833">
            <w:pPr>
              <w:jc w:val="center"/>
              <w:rPr>
                <w:rFonts w:ascii="Arial" w:hAnsi="Arial" w:cs="Arial"/>
                <w:b/>
                <w:bCs/>
              </w:rPr>
            </w:pPr>
            <w:r>
              <w:rPr>
                <w:rFonts w:ascii="Arial" w:hAnsi="Arial" w:cs="Arial"/>
                <w:b/>
                <w:bCs/>
                <w:sz w:val="22"/>
                <w:szCs w:val="22"/>
              </w:rPr>
              <w:t>Totale veicoli circolanti Comune di Piacenza</w:t>
            </w:r>
          </w:p>
        </w:tc>
        <w:tc>
          <w:tcPr>
            <w:tcW w:w="880" w:type="dxa"/>
            <w:tcBorders>
              <w:left w:val="single" w:sz="4" w:space="0" w:color="000000"/>
              <w:right w:val="nil"/>
            </w:tcBorders>
            <w:tcMar>
              <w:left w:w="10" w:type="dxa"/>
            </w:tcMar>
            <w:vAlign w:val="center"/>
          </w:tcPr>
          <w:p w:rsidR="003C7833" w:rsidRDefault="003C7833">
            <w:pPr>
              <w:jc w:val="center"/>
              <w:rPr>
                <w:rFonts w:ascii="Arial" w:hAnsi="Arial" w:cs="Arial"/>
                <w:b/>
                <w:bCs/>
              </w:rPr>
            </w:pPr>
            <w:r>
              <w:rPr>
                <w:rFonts w:ascii="Arial" w:hAnsi="Arial" w:cs="Arial"/>
                <w:b/>
                <w:bCs/>
                <w:sz w:val="22"/>
                <w:szCs w:val="22"/>
              </w:rPr>
              <w:t>80.735</w:t>
            </w:r>
          </w:p>
        </w:tc>
        <w:tc>
          <w:tcPr>
            <w:tcW w:w="1214" w:type="dxa"/>
            <w:tcBorders>
              <w:left w:val="single" w:sz="4" w:space="0" w:color="000000"/>
              <w:right w:val="nil"/>
            </w:tcBorders>
            <w:tcMar>
              <w:top w:w="0" w:type="dxa"/>
              <w:left w:w="-5" w:type="dxa"/>
              <w:right w:w="0" w:type="dxa"/>
            </w:tcMar>
            <w:vAlign w:val="center"/>
          </w:tcPr>
          <w:p w:rsidR="003C7833" w:rsidRDefault="003C7833">
            <w:pPr>
              <w:jc w:val="center"/>
              <w:rPr>
                <w:rFonts w:ascii="Arial" w:hAnsi="Arial" w:cs="Arial"/>
                <w:b/>
                <w:bCs/>
              </w:rPr>
            </w:pPr>
            <w:r>
              <w:rPr>
                <w:rFonts w:ascii="Arial" w:hAnsi="Arial" w:cs="Arial"/>
                <w:b/>
                <w:bCs/>
                <w:sz w:val="22"/>
                <w:szCs w:val="22"/>
              </w:rPr>
              <w:t xml:space="preserve">% veicoli interessati sul tot </w:t>
            </w:r>
          </w:p>
        </w:tc>
        <w:tc>
          <w:tcPr>
            <w:tcW w:w="1041" w:type="dxa"/>
            <w:tcBorders>
              <w:left w:val="nil"/>
              <w:right w:val="single" w:sz="4" w:space="0" w:color="000000"/>
            </w:tcBorders>
            <w:vAlign w:val="center"/>
          </w:tcPr>
          <w:p w:rsidR="003C7833" w:rsidRDefault="003C7833">
            <w:pPr>
              <w:jc w:val="center"/>
              <w:rPr>
                <w:rFonts w:ascii="Arial" w:eastAsia="Arial Unicode MS" w:hAnsi="Arial"/>
                <w:b/>
                <w:bCs/>
              </w:rPr>
            </w:pPr>
            <w:r>
              <w:rPr>
                <w:rFonts w:ascii="Arial" w:eastAsia="Arial Unicode MS" w:hAnsi="Arial" w:cs="Arial"/>
                <w:b/>
                <w:bCs/>
                <w:sz w:val="22"/>
                <w:szCs w:val="22"/>
              </w:rPr>
              <w:t>Variazione emissioni PM10</w:t>
            </w:r>
          </w:p>
        </w:tc>
      </w:tr>
      <w:tr w:rsidR="003C7833">
        <w:trPr>
          <w:trHeight w:val="780"/>
          <w:jc w:val="center"/>
        </w:trPr>
        <w:tc>
          <w:tcPr>
            <w:tcW w:w="2985" w:type="dxa"/>
            <w:tcBorders>
              <w:right w:val="nil"/>
            </w:tcBorders>
            <w:shd w:val="clear" w:color="auto" w:fill="FF9900"/>
            <w:tcMar>
              <w:left w:w="10" w:type="dxa"/>
            </w:tcMar>
            <w:vAlign w:val="center"/>
          </w:tcPr>
          <w:p w:rsidR="003C7833" w:rsidRDefault="003C7833">
            <w:pPr>
              <w:jc w:val="center"/>
              <w:rPr>
                <w:rFonts w:ascii="Arial" w:hAnsi="Arial" w:cs="Arial"/>
                <w:b/>
                <w:bCs/>
              </w:rPr>
            </w:pPr>
            <w:r>
              <w:rPr>
                <w:rFonts w:ascii="Arial" w:hAnsi="Arial" w:cs="Arial"/>
                <w:b/>
                <w:bCs/>
                <w:sz w:val="22"/>
                <w:szCs w:val="22"/>
              </w:rPr>
              <w:t>Totale veicoli interessati dalle limitazioni del lunedì-venerdì</w:t>
            </w:r>
          </w:p>
        </w:tc>
        <w:tc>
          <w:tcPr>
            <w:tcW w:w="880" w:type="dxa"/>
            <w:tcBorders>
              <w:left w:val="single" w:sz="4" w:space="0" w:color="000000"/>
              <w:right w:val="nil"/>
            </w:tcBorders>
            <w:shd w:val="clear" w:color="auto" w:fill="FF9900"/>
            <w:tcMar>
              <w:left w:w="10" w:type="dxa"/>
            </w:tcMar>
            <w:vAlign w:val="center"/>
          </w:tcPr>
          <w:p w:rsidR="003C7833" w:rsidRDefault="003C7833">
            <w:pPr>
              <w:jc w:val="center"/>
              <w:rPr>
                <w:rFonts w:ascii="Arial" w:hAnsi="Arial" w:cs="Arial"/>
                <w:b/>
                <w:bCs/>
              </w:rPr>
            </w:pPr>
            <w:r>
              <w:rPr>
                <w:rFonts w:ascii="Arial" w:hAnsi="Arial" w:cs="Arial"/>
                <w:b/>
                <w:bCs/>
                <w:sz w:val="22"/>
                <w:szCs w:val="22"/>
              </w:rPr>
              <w:t>15.031</w:t>
            </w:r>
          </w:p>
        </w:tc>
        <w:tc>
          <w:tcPr>
            <w:tcW w:w="1214" w:type="dxa"/>
            <w:tcBorders>
              <w:left w:val="single" w:sz="4" w:space="0" w:color="000000"/>
              <w:right w:val="nil"/>
            </w:tcBorders>
            <w:shd w:val="clear" w:color="auto" w:fill="FF9900"/>
            <w:tcMar>
              <w:top w:w="0" w:type="dxa"/>
              <w:left w:w="-5" w:type="dxa"/>
              <w:right w:w="0" w:type="dxa"/>
            </w:tcMar>
            <w:vAlign w:val="center"/>
          </w:tcPr>
          <w:p w:rsidR="003C7833" w:rsidRDefault="003C7833">
            <w:pPr>
              <w:jc w:val="center"/>
              <w:rPr>
                <w:rFonts w:ascii="Arial" w:hAnsi="Arial" w:cs="Arial"/>
                <w:b/>
                <w:bCs/>
              </w:rPr>
            </w:pPr>
            <w:r>
              <w:rPr>
                <w:rFonts w:ascii="Arial" w:hAnsi="Arial" w:cs="Arial"/>
                <w:b/>
                <w:bCs/>
                <w:sz w:val="22"/>
                <w:szCs w:val="22"/>
              </w:rPr>
              <w:t>19%</w:t>
            </w:r>
          </w:p>
        </w:tc>
        <w:tc>
          <w:tcPr>
            <w:tcW w:w="1041" w:type="dxa"/>
            <w:tcBorders>
              <w:left w:val="nil"/>
              <w:right w:val="single" w:sz="4" w:space="0" w:color="000000"/>
            </w:tcBorders>
            <w:shd w:val="clear" w:color="auto" w:fill="FF9900"/>
            <w:vAlign w:val="center"/>
          </w:tcPr>
          <w:p w:rsidR="003C7833" w:rsidRDefault="003C7833">
            <w:pPr>
              <w:jc w:val="center"/>
              <w:rPr>
                <w:rFonts w:ascii="Arial" w:hAnsi="Arial" w:cs="Arial"/>
                <w:b/>
                <w:bCs/>
                <w:color w:val="000000"/>
              </w:rPr>
            </w:pPr>
            <w:r>
              <w:rPr>
                <w:rFonts w:ascii="Arial" w:hAnsi="Arial" w:cs="Arial"/>
                <w:b/>
                <w:bCs/>
                <w:color w:val="000000"/>
                <w:sz w:val="22"/>
                <w:szCs w:val="22"/>
              </w:rPr>
              <w:t>-36%</w:t>
            </w:r>
          </w:p>
        </w:tc>
      </w:tr>
      <w:tr w:rsidR="003C7833">
        <w:trPr>
          <w:trHeight w:val="780"/>
          <w:jc w:val="center"/>
        </w:trPr>
        <w:tc>
          <w:tcPr>
            <w:tcW w:w="2985" w:type="dxa"/>
            <w:tcBorders>
              <w:right w:val="nil"/>
            </w:tcBorders>
            <w:shd w:val="clear" w:color="auto" w:fill="FFCC00"/>
            <w:tcMar>
              <w:left w:w="10" w:type="dxa"/>
            </w:tcMar>
            <w:vAlign w:val="center"/>
          </w:tcPr>
          <w:p w:rsidR="003C7833" w:rsidRDefault="003C7833">
            <w:pPr>
              <w:jc w:val="center"/>
              <w:rPr>
                <w:rFonts w:ascii="Arial" w:hAnsi="Arial" w:cs="Arial"/>
                <w:b/>
                <w:bCs/>
              </w:rPr>
            </w:pPr>
            <w:r>
              <w:rPr>
                <w:rFonts w:ascii="Arial" w:hAnsi="Arial" w:cs="Arial"/>
                <w:b/>
                <w:bCs/>
                <w:sz w:val="22"/>
                <w:szCs w:val="22"/>
              </w:rPr>
              <w:t>Totale veicoli interessati dalle limitazioni del giovedì o domenica ecologica</w:t>
            </w:r>
          </w:p>
        </w:tc>
        <w:tc>
          <w:tcPr>
            <w:tcW w:w="880" w:type="dxa"/>
            <w:tcBorders>
              <w:left w:val="single" w:sz="4" w:space="0" w:color="000000"/>
              <w:right w:val="nil"/>
            </w:tcBorders>
            <w:shd w:val="clear" w:color="auto" w:fill="FFCC00"/>
            <w:tcMar>
              <w:left w:w="10" w:type="dxa"/>
            </w:tcMar>
            <w:vAlign w:val="center"/>
          </w:tcPr>
          <w:p w:rsidR="003C7833" w:rsidRDefault="003C7833">
            <w:pPr>
              <w:jc w:val="center"/>
              <w:rPr>
                <w:rFonts w:ascii="Arial" w:hAnsi="Arial" w:cs="Arial"/>
                <w:b/>
                <w:bCs/>
              </w:rPr>
            </w:pPr>
            <w:r>
              <w:rPr>
                <w:rFonts w:ascii="Arial" w:hAnsi="Arial" w:cs="Arial"/>
                <w:b/>
                <w:bCs/>
                <w:sz w:val="22"/>
                <w:szCs w:val="22"/>
              </w:rPr>
              <w:t>33.857</w:t>
            </w:r>
          </w:p>
        </w:tc>
        <w:tc>
          <w:tcPr>
            <w:tcW w:w="1214" w:type="dxa"/>
            <w:tcBorders>
              <w:left w:val="single" w:sz="4" w:space="0" w:color="000000"/>
              <w:right w:val="nil"/>
            </w:tcBorders>
            <w:shd w:val="clear" w:color="auto" w:fill="FFCC00"/>
            <w:tcMar>
              <w:top w:w="0" w:type="dxa"/>
              <w:left w:w="-5" w:type="dxa"/>
              <w:right w:w="0" w:type="dxa"/>
            </w:tcMar>
            <w:vAlign w:val="center"/>
          </w:tcPr>
          <w:p w:rsidR="003C7833" w:rsidRDefault="003C7833">
            <w:pPr>
              <w:jc w:val="center"/>
              <w:rPr>
                <w:rFonts w:ascii="Arial" w:hAnsi="Arial" w:cs="Arial"/>
                <w:b/>
                <w:bCs/>
              </w:rPr>
            </w:pPr>
            <w:r>
              <w:rPr>
                <w:rFonts w:ascii="Arial" w:hAnsi="Arial" w:cs="Arial"/>
                <w:b/>
                <w:bCs/>
                <w:sz w:val="22"/>
                <w:szCs w:val="22"/>
              </w:rPr>
              <w:t>42%</w:t>
            </w:r>
          </w:p>
        </w:tc>
        <w:tc>
          <w:tcPr>
            <w:tcW w:w="1041" w:type="dxa"/>
            <w:tcBorders>
              <w:left w:val="nil"/>
              <w:right w:val="single" w:sz="4" w:space="0" w:color="000000"/>
            </w:tcBorders>
            <w:shd w:val="clear" w:color="auto" w:fill="FFCC00"/>
            <w:vAlign w:val="center"/>
          </w:tcPr>
          <w:p w:rsidR="003C7833" w:rsidRDefault="003C7833">
            <w:pPr>
              <w:jc w:val="center"/>
              <w:rPr>
                <w:rFonts w:ascii="Arial" w:hAnsi="Arial" w:cs="Arial"/>
                <w:b/>
                <w:bCs/>
                <w:color w:val="000000"/>
              </w:rPr>
            </w:pPr>
            <w:r>
              <w:rPr>
                <w:rFonts w:ascii="Arial" w:hAnsi="Arial" w:cs="Arial"/>
                <w:b/>
                <w:bCs/>
                <w:color w:val="000000"/>
                <w:sz w:val="22"/>
                <w:szCs w:val="22"/>
              </w:rPr>
              <w:t>-47%</w:t>
            </w:r>
          </w:p>
        </w:tc>
      </w:tr>
    </w:tbl>
    <w:p w:rsidR="003C7833" w:rsidRDefault="003C7833">
      <w:pPr>
        <w:rPr>
          <w:sz w:val="22"/>
          <w:szCs w:val="22"/>
        </w:rPr>
      </w:pPr>
    </w:p>
    <w:p w:rsidR="003C7833" w:rsidRDefault="003C7833">
      <w:pPr>
        <w:pStyle w:val="BodyText3"/>
        <w:rPr>
          <w:b/>
          <w:bCs/>
          <w:sz w:val="22"/>
          <w:szCs w:val="22"/>
        </w:rPr>
      </w:pPr>
    </w:p>
    <w:p w:rsidR="003C7833" w:rsidRPr="005C7B9D" w:rsidRDefault="003C7833" w:rsidP="005C7B9D">
      <w:pPr>
        <w:pStyle w:val="BodyText3"/>
        <w:spacing w:before="120" w:after="120"/>
        <w:rPr>
          <w:b/>
          <w:bCs/>
          <w:sz w:val="22"/>
          <w:szCs w:val="22"/>
        </w:rPr>
      </w:pPr>
      <w:r w:rsidRPr="005C7B9D">
        <w:rPr>
          <w:b/>
          <w:bCs/>
          <w:sz w:val="22"/>
          <w:szCs w:val="22"/>
        </w:rPr>
        <w:t>Osservando le due tabelle di sintesi sopra riportate si vede che, a fronte di un aumento complessivo di veicoli dell’1,2% (da 79.740 a 80.735 tra il 2010 e il 2013), si è verificata una significativa riduzione della quota di veicoli colpiti dai provvedimenti di limitazione del traffico:</w:t>
      </w:r>
    </w:p>
    <w:p w:rsidR="003C7833" w:rsidRPr="005C7B9D" w:rsidRDefault="003C7833" w:rsidP="005C7B9D">
      <w:pPr>
        <w:pStyle w:val="BodyText3"/>
        <w:numPr>
          <w:ilvl w:val="0"/>
          <w:numId w:val="2"/>
        </w:numPr>
        <w:spacing w:before="120" w:after="120"/>
        <w:rPr>
          <w:b/>
          <w:bCs/>
          <w:sz w:val="22"/>
          <w:szCs w:val="22"/>
        </w:rPr>
      </w:pPr>
      <w:r w:rsidRPr="005C7B9D">
        <w:rPr>
          <w:b/>
          <w:bCs/>
          <w:sz w:val="22"/>
          <w:szCs w:val="22"/>
        </w:rPr>
        <w:t>le limitazioni previste dal lunedì al venerdì interessano ora il 19% dei veicoli, mentre all’inizio dell’attivazione dei provvedimenti AdP 2012-2015 si era stimato interessassero il 22%;</w:t>
      </w:r>
    </w:p>
    <w:p w:rsidR="003C7833" w:rsidRPr="005C7B9D" w:rsidRDefault="003C7833" w:rsidP="005C7B9D">
      <w:pPr>
        <w:pStyle w:val="BodyText3"/>
        <w:numPr>
          <w:ilvl w:val="0"/>
          <w:numId w:val="2"/>
        </w:numPr>
        <w:spacing w:before="120" w:after="120"/>
        <w:rPr>
          <w:b/>
          <w:bCs/>
          <w:sz w:val="22"/>
          <w:szCs w:val="22"/>
        </w:rPr>
      </w:pPr>
      <w:r w:rsidRPr="005C7B9D">
        <w:rPr>
          <w:b/>
          <w:bCs/>
          <w:sz w:val="22"/>
          <w:szCs w:val="22"/>
        </w:rPr>
        <w:t>le limitazioni previste il giovedì (e le domeniche ecologiche) interessano ora il 42% dei veicoli, mentre all’inizio dell’attivazione dei provvedimenti AdP 2012-2015 si era stimato interessassero il 51%.</w:t>
      </w:r>
    </w:p>
    <w:p w:rsidR="003C7833" w:rsidRPr="005C7B9D" w:rsidRDefault="003C7833" w:rsidP="005C7B9D">
      <w:pPr>
        <w:pStyle w:val="BodyText3"/>
        <w:spacing w:before="120" w:after="120"/>
        <w:rPr>
          <w:b/>
          <w:bCs/>
          <w:sz w:val="22"/>
          <w:szCs w:val="22"/>
        </w:rPr>
      </w:pPr>
      <w:r w:rsidRPr="005C7B9D">
        <w:rPr>
          <w:b/>
          <w:bCs/>
          <w:sz w:val="22"/>
          <w:szCs w:val="22"/>
        </w:rPr>
        <w:t>Il restringimento dello spettro dei veicoli interessati dai provvedimenti si riflette anche su una minor riduzione delle emissioni di PM10: come si vede si passa da –43% a –36% per le limitazioni del lunedì-venerdì, e si passa –58% a –47% per quanto riguarda il divieto generalizzato della circolazione (giovedì e domeniche ecologiche).</w:t>
      </w:r>
    </w:p>
    <w:p w:rsidR="003C7833" w:rsidRPr="005C7B9D" w:rsidRDefault="003C7833" w:rsidP="005C7B9D">
      <w:pPr>
        <w:pStyle w:val="BodyText3"/>
        <w:spacing w:before="120" w:after="120"/>
        <w:rPr>
          <w:b/>
          <w:bCs/>
          <w:sz w:val="22"/>
          <w:szCs w:val="22"/>
        </w:rPr>
      </w:pPr>
      <w:r w:rsidRPr="005C7B9D">
        <w:rPr>
          <w:b/>
          <w:bCs/>
          <w:sz w:val="22"/>
          <w:szCs w:val="22"/>
        </w:rPr>
        <w:t xml:space="preserve">Il fatto che vi sia una minor fetta di veicoli la cui circolazione viene limitata è ovviamente legata al fatto che negli ultimi anni si è registrato un rinnovo del parco mezzi circolante. Ciò impone per gli anni a venire la necessità di una rimodulazione graduale dei provvedimenti di limitazione, in modo che si possa continuare a garantire  l’efficacia dei provvedimenti medesimi. </w:t>
      </w:r>
    </w:p>
    <w:p w:rsidR="003C7833" w:rsidRDefault="003C7833">
      <w:pPr>
        <w:pStyle w:val="BodyText3"/>
        <w:rPr>
          <w:sz w:val="22"/>
          <w:szCs w:val="22"/>
        </w:rPr>
      </w:pPr>
    </w:p>
    <w:p w:rsidR="003C7833" w:rsidRDefault="003C7833">
      <w:pPr>
        <w:jc w:val="center"/>
        <w:rPr>
          <w:rFonts w:ascii="Arial" w:hAnsi="Arial" w:cs="Arial"/>
          <w:b/>
          <w:bCs/>
          <w:i/>
          <w:iCs/>
          <w:sz w:val="22"/>
          <w:szCs w:val="22"/>
        </w:rPr>
      </w:pPr>
      <w:r>
        <w:rPr>
          <w:rFonts w:ascii="Arial" w:hAnsi="Arial" w:cs="Arial"/>
          <w:b/>
          <w:bCs/>
          <w:i/>
          <w:iCs/>
          <w:sz w:val="22"/>
          <w:szCs w:val="22"/>
        </w:rPr>
        <w:br w:type="page"/>
        <w:t xml:space="preserve">LIMITAZIONI DEGLI ALTRI COMUNI CAPOLUOGO </w:t>
      </w:r>
    </w:p>
    <w:p w:rsidR="003C7833" w:rsidRDefault="003C7833">
      <w:pPr>
        <w:jc w:val="center"/>
        <w:rPr>
          <w:rFonts w:ascii="Arial" w:hAnsi="Arial" w:cs="Arial"/>
          <w:b/>
          <w:bCs/>
          <w:i/>
          <w:iCs/>
          <w:sz w:val="22"/>
          <w:szCs w:val="22"/>
        </w:rPr>
      </w:pPr>
      <w:r>
        <w:rPr>
          <w:rFonts w:ascii="Arial" w:hAnsi="Arial" w:cs="Arial"/>
          <w:b/>
          <w:bCs/>
          <w:i/>
          <w:iCs/>
          <w:sz w:val="22"/>
          <w:szCs w:val="22"/>
        </w:rPr>
        <w:t>DELLA REGIONE EMILIA – ROMAGNA</w:t>
      </w:r>
    </w:p>
    <w:p w:rsidR="003C7833" w:rsidRDefault="003C7833">
      <w:pPr>
        <w:pStyle w:val="BodyText2"/>
        <w:jc w:val="left"/>
        <w:rPr>
          <w:b/>
          <w:bCs/>
          <w:caps/>
        </w:rPr>
      </w:pPr>
    </w:p>
    <w:p w:rsidR="003C7833" w:rsidRDefault="003C7833" w:rsidP="005C7B9D">
      <w:pPr>
        <w:pStyle w:val="BodyText3"/>
        <w:spacing w:before="120" w:after="120"/>
        <w:rPr>
          <w:sz w:val="22"/>
          <w:szCs w:val="22"/>
        </w:rPr>
      </w:pPr>
      <w:r>
        <w:rPr>
          <w:sz w:val="22"/>
          <w:szCs w:val="22"/>
        </w:rPr>
        <w:t xml:space="preserve">Gli altri enti sottoscrittori dell’A.d.P. 2012 –2015 hanno adottato provvedimenti analoghi a quelli assunti dal Comune di Piacenza. </w:t>
      </w:r>
    </w:p>
    <w:p w:rsidR="003C7833" w:rsidRDefault="003C7833" w:rsidP="005C7B9D">
      <w:pPr>
        <w:pStyle w:val="BodyText3"/>
        <w:spacing w:before="120" w:after="120"/>
        <w:rPr>
          <w:sz w:val="22"/>
          <w:szCs w:val="22"/>
        </w:rPr>
      </w:pPr>
      <w:r>
        <w:rPr>
          <w:sz w:val="22"/>
          <w:szCs w:val="22"/>
        </w:rPr>
        <w:t>Sono da evidenziare le limitazioni aggiuntive (oltre a quelle previste anche nel Comune di Piacenza) che verranno attivate nei Comuni di Rimini e Parma:</w:t>
      </w:r>
    </w:p>
    <w:p w:rsidR="003C7833" w:rsidRDefault="003C7833" w:rsidP="005C7B9D">
      <w:pPr>
        <w:numPr>
          <w:ilvl w:val="0"/>
          <w:numId w:val="3"/>
        </w:numPr>
        <w:autoSpaceDE w:val="0"/>
        <w:spacing w:before="120" w:after="120"/>
        <w:jc w:val="both"/>
        <w:rPr>
          <w:rFonts w:ascii="Arial" w:hAnsi="Arial" w:cs="Arial"/>
          <w:sz w:val="22"/>
          <w:szCs w:val="22"/>
        </w:rPr>
      </w:pPr>
      <w:r>
        <w:rPr>
          <w:rFonts w:ascii="Arial" w:hAnsi="Arial" w:cs="Arial"/>
          <w:sz w:val="22"/>
          <w:szCs w:val="22"/>
        </w:rPr>
        <w:t>il Comune di Rimini, con Ordinanza n. 172580 del 19.09.2014 (limitazioni periodo 1° ottobre 2014 – 6 gennaio 2015) ha previsto, tra l’altro, anche il blocco della circolazione dei veicoli a benzina e diesel Euro 4 nelle domeniche ecologiche del 5 ottobre e 2 novembre 2014;</w:t>
      </w:r>
    </w:p>
    <w:p w:rsidR="003C7833" w:rsidRDefault="003C7833" w:rsidP="005C7B9D">
      <w:pPr>
        <w:numPr>
          <w:ilvl w:val="0"/>
          <w:numId w:val="3"/>
        </w:numPr>
        <w:autoSpaceDE w:val="0"/>
        <w:spacing w:before="120" w:after="120"/>
        <w:jc w:val="both"/>
        <w:rPr>
          <w:rFonts w:ascii="Arial" w:hAnsi="Arial" w:cs="Arial"/>
          <w:sz w:val="22"/>
          <w:szCs w:val="22"/>
        </w:rPr>
      </w:pPr>
      <w:r>
        <w:rPr>
          <w:rFonts w:ascii="Arial" w:hAnsi="Arial" w:cs="Arial"/>
          <w:sz w:val="22"/>
          <w:szCs w:val="22"/>
        </w:rPr>
        <w:t>il Comune di Parma, con Ordinanza n. 166289 del 13.09.2013 ha stabilito, tra l’altro:</w:t>
      </w:r>
    </w:p>
    <w:p w:rsidR="003C7833" w:rsidRDefault="003C7833" w:rsidP="005C7B9D">
      <w:pPr>
        <w:numPr>
          <w:ilvl w:val="1"/>
          <w:numId w:val="3"/>
        </w:numPr>
        <w:autoSpaceDE w:val="0"/>
        <w:spacing w:before="120" w:after="120"/>
        <w:jc w:val="both"/>
        <w:rPr>
          <w:rFonts w:ascii="Arial" w:hAnsi="Arial" w:cs="Arial"/>
          <w:sz w:val="22"/>
          <w:szCs w:val="22"/>
        </w:rPr>
      </w:pPr>
      <w:r>
        <w:rPr>
          <w:rFonts w:ascii="Arial" w:hAnsi="Arial" w:cs="Arial"/>
          <w:sz w:val="22"/>
          <w:szCs w:val="22"/>
        </w:rPr>
        <w:t>il rispetto della temperatura di 19 °C + 2 °C (anziché 20 °C + 2°C) in tutti gli edifici pubblici e privati (eccetto ospedali, case di cura, scuole materne, asili nido, piscine);</w:t>
      </w:r>
    </w:p>
    <w:p w:rsidR="003C7833" w:rsidRDefault="003C7833" w:rsidP="005C7B9D">
      <w:pPr>
        <w:numPr>
          <w:ilvl w:val="1"/>
          <w:numId w:val="3"/>
        </w:numPr>
        <w:autoSpaceDE w:val="0"/>
        <w:spacing w:before="120" w:after="120"/>
        <w:jc w:val="both"/>
        <w:rPr>
          <w:rFonts w:ascii="Arial" w:hAnsi="Arial" w:cs="Arial"/>
          <w:sz w:val="22"/>
          <w:szCs w:val="22"/>
        </w:rPr>
      </w:pPr>
      <w:r>
        <w:rPr>
          <w:rFonts w:ascii="Arial" w:hAnsi="Arial" w:cs="Arial"/>
          <w:sz w:val="22"/>
          <w:szCs w:val="22"/>
        </w:rPr>
        <w:t>il blocco della circolazione anche dei veicoli a benzina e diesel Euro 4 nei giovedì e nelle domeniche ecologiche previste nel periodo ottobre 2014 – marzo 2015;</w:t>
      </w:r>
    </w:p>
    <w:p w:rsidR="003C7833" w:rsidRDefault="003C7833" w:rsidP="005C7B9D">
      <w:pPr>
        <w:numPr>
          <w:ilvl w:val="1"/>
          <w:numId w:val="3"/>
        </w:numPr>
        <w:autoSpaceDE w:val="0"/>
        <w:spacing w:before="120" w:after="120"/>
        <w:jc w:val="both"/>
        <w:rPr>
          <w:rFonts w:ascii="Arial" w:hAnsi="Arial" w:cs="Arial"/>
          <w:sz w:val="22"/>
          <w:szCs w:val="22"/>
        </w:rPr>
      </w:pPr>
      <w:r>
        <w:rPr>
          <w:rFonts w:ascii="Arial" w:hAnsi="Arial" w:cs="Arial"/>
          <w:sz w:val="22"/>
          <w:szCs w:val="22"/>
        </w:rPr>
        <w:t>nel periodo 15 ottobre 2014 – 15 aprile 2015: obbligo di mantenere chiusi i battenti degli accessi al pubblico per cinema, teatri, sale riunioni e congressi, mostre, musei e biblioteche, luoghi di culto, bar, ristoranti, sale da ballo, negozi, supermercati, attività industriali ed artigianali;</w:t>
      </w:r>
    </w:p>
    <w:p w:rsidR="003C7833" w:rsidRDefault="003C7833" w:rsidP="005C7B9D">
      <w:pPr>
        <w:numPr>
          <w:ilvl w:val="1"/>
          <w:numId w:val="3"/>
        </w:numPr>
        <w:autoSpaceDE w:val="0"/>
        <w:spacing w:before="120" w:after="120"/>
        <w:jc w:val="both"/>
        <w:rPr>
          <w:rFonts w:ascii="Arial" w:hAnsi="Arial" w:cs="Arial"/>
          <w:sz w:val="22"/>
          <w:szCs w:val="22"/>
        </w:rPr>
      </w:pPr>
      <w:r>
        <w:rPr>
          <w:rFonts w:ascii="Arial" w:hAnsi="Arial" w:cs="Arial"/>
          <w:sz w:val="22"/>
          <w:szCs w:val="22"/>
        </w:rPr>
        <w:t>nel periodo 15 ottobre – 1° dicembre 2014, 28 febbraio - 14 aprile 2015: durata massima di attivazione degli impianti di riscaldamento in tutti gli edifici pubblici e privati di 12 ore (anziché 14).</w:t>
      </w:r>
    </w:p>
    <w:p w:rsidR="003C7833" w:rsidRDefault="003C7833" w:rsidP="005C7B9D">
      <w:pPr>
        <w:spacing w:before="120" w:after="120"/>
        <w:jc w:val="center"/>
        <w:rPr>
          <w:rFonts w:ascii="Arial" w:hAnsi="Arial" w:cs="Arial"/>
          <w:b/>
          <w:bCs/>
          <w:i/>
          <w:iCs/>
          <w:sz w:val="22"/>
          <w:szCs w:val="22"/>
        </w:rPr>
      </w:pPr>
    </w:p>
    <w:p w:rsidR="003C7833" w:rsidRDefault="003C7833">
      <w:pPr>
        <w:jc w:val="center"/>
        <w:rPr>
          <w:rFonts w:ascii="Arial" w:hAnsi="Arial" w:cs="Arial"/>
          <w:b/>
          <w:bCs/>
          <w:i/>
          <w:iCs/>
          <w:sz w:val="22"/>
          <w:szCs w:val="22"/>
        </w:rPr>
      </w:pPr>
      <w:r>
        <w:rPr>
          <w:rFonts w:ascii="Arial" w:hAnsi="Arial" w:cs="Arial"/>
          <w:b/>
          <w:bCs/>
          <w:i/>
          <w:iCs/>
          <w:sz w:val="22"/>
          <w:szCs w:val="22"/>
        </w:rPr>
        <w:br w:type="page"/>
        <w:t>LA SITUAZIONE DELLA QUALITA’ DELL’ARIA</w:t>
      </w:r>
    </w:p>
    <w:p w:rsidR="003C7833" w:rsidRDefault="003C7833">
      <w:pPr>
        <w:pStyle w:val="BodyText3"/>
        <w:rPr>
          <w:sz w:val="22"/>
          <w:szCs w:val="22"/>
        </w:rPr>
      </w:pPr>
    </w:p>
    <w:p w:rsidR="003C7833" w:rsidRDefault="003C7833">
      <w:pPr>
        <w:pStyle w:val="BodyText3"/>
        <w:rPr>
          <w:sz w:val="22"/>
          <w:szCs w:val="22"/>
        </w:rPr>
      </w:pPr>
      <w:r>
        <w:rPr>
          <w:sz w:val="22"/>
          <w:szCs w:val="22"/>
        </w:rPr>
        <w:t>La situazione della qualità dell’aria quest’anno, grazie in particolare a condizioni meteo-climatiche favorevoli, è stata finora decisamente positiva considerando l’inquinamento atmosferico da PM10: il numero di superamenti del limite giornaliero al 22 settembre 2014 si attesta a 13 e 10 rispettivamente per le stazioni di monitoraggio Giordani-Farnese e Parco Montecucco, a fronte di un numero massimo consentito di 35 superamenti annui.</w:t>
      </w:r>
    </w:p>
    <w:p w:rsidR="003C7833" w:rsidRDefault="003C7833">
      <w:pPr>
        <w:pStyle w:val="BodyText3"/>
        <w:rPr>
          <w:sz w:val="22"/>
          <w:szCs w:val="22"/>
        </w:rPr>
      </w:pPr>
      <w:r>
        <w:rPr>
          <w:sz w:val="22"/>
          <w:szCs w:val="22"/>
        </w:rPr>
        <w:t>Lo scorso anno tuttavia, partendo da una situazione non molto diversa (16 e 15 rispettivamente per le stazioni di monitoraggio Giordani-Farnese e Parco Montecucco) si è giunti comunque a non rispettare il numero massimo di superamenti annui arrivando a 43 e 40 rispettivamente per le stazioni di monitoraggio Giordani-Farnese e Parco Montecucco).</w:t>
      </w:r>
    </w:p>
    <w:p w:rsidR="003C7833" w:rsidRDefault="003C7833">
      <w:pPr>
        <w:pStyle w:val="BodyText3"/>
      </w:pPr>
    </w:p>
    <w:p w:rsidR="003C7833" w:rsidRDefault="003C7833">
      <w:pPr>
        <w:pStyle w:val="BodyText3"/>
      </w:pPr>
      <w:r>
        <w:rPr>
          <w:noProof/>
          <w:lang w:eastAsia="it-IT"/>
        </w:rPr>
        <w:pict>
          <v:shape id="Picture" o:spid="_x0000_i1025" type="#_x0000_t75" alt="Oggetto OLE" style="width:488.25pt;height:111pt;visibility:visible">
            <v:imagedata r:id="rId7" o:title=""/>
          </v:shape>
        </w:pict>
      </w:r>
    </w:p>
    <w:p w:rsidR="003C7833" w:rsidRDefault="003C7833">
      <w:pPr>
        <w:pStyle w:val="BodyText3"/>
        <w:rPr>
          <w:b/>
          <w:bCs/>
          <w:i/>
          <w:iCs/>
          <w:color w:val="FF0000"/>
        </w:rPr>
      </w:pPr>
      <w:r w:rsidRPr="005C7B9D">
        <w:rPr>
          <w:b/>
          <w:bCs/>
          <w:i/>
          <w:iCs/>
          <w:color w:val="FF0000"/>
        </w:rPr>
        <w:t>N.B.: Nelle giornate del 26 e 27 settembre ci sono stati 2 sforamenti aggiuntivi in stazione Giordani e 1 sforamento in stazione Montecucco</w:t>
      </w:r>
    </w:p>
    <w:p w:rsidR="003C7833" w:rsidRPr="005C7B9D" w:rsidRDefault="003C7833">
      <w:pPr>
        <w:pStyle w:val="BodyText3"/>
        <w:rPr>
          <w:b/>
          <w:bCs/>
          <w:i/>
          <w:iCs/>
          <w:color w:val="FF0000"/>
        </w:rPr>
      </w:pPr>
    </w:p>
    <w:p w:rsidR="003C7833" w:rsidRDefault="003C7833">
      <w:pPr>
        <w:pStyle w:val="BodyText3"/>
      </w:pPr>
      <w:r>
        <w:rPr>
          <w:noProof/>
          <w:lang w:eastAsia="it-IT"/>
        </w:rPr>
        <w:pict>
          <v:shape id="_x0000_i1026" type="#_x0000_t75" alt="Oggetto OLE" style="width:486pt;height:117pt;visibility:visible">
            <v:imagedata r:id="rId8" o:title=""/>
          </v:shape>
        </w:pict>
      </w:r>
    </w:p>
    <w:p w:rsidR="003C7833" w:rsidRDefault="003C7833">
      <w:pPr>
        <w:pStyle w:val="BodyText3"/>
      </w:pPr>
    </w:p>
    <w:p w:rsidR="003C7833" w:rsidRDefault="003C7833">
      <w:pPr>
        <w:pStyle w:val="BodyText"/>
        <w:spacing w:line="100" w:lineRule="atLeast"/>
        <w:ind w:right="-2"/>
        <w:jc w:val="right"/>
      </w:pPr>
      <w:r>
        <w:rPr>
          <w:noProof/>
          <w:lang w:eastAsia="it-IT"/>
        </w:rPr>
        <w:pict>
          <v:shape id="_x0000_i1027" type="#_x0000_t75" alt="Oggetto OLE" style="width:486pt;height:116.25pt;visibility:visible">
            <v:imagedata r:id="rId9" o:title=""/>
          </v:shape>
        </w:pict>
      </w:r>
    </w:p>
    <w:p w:rsidR="003C7833" w:rsidRDefault="003C7833">
      <w:pPr>
        <w:pStyle w:val="BodyText"/>
        <w:spacing w:line="100" w:lineRule="atLeast"/>
        <w:ind w:right="-2"/>
        <w:jc w:val="right"/>
        <w:rPr>
          <w:color w:val="000000"/>
        </w:rPr>
      </w:pPr>
    </w:p>
    <w:p w:rsidR="003C7833" w:rsidRDefault="003C7833">
      <w:pPr>
        <w:pStyle w:val="BodyText3"/>
        <w:rPr>
          <w:b/>
          <w:bCs/>
          <w:sz w:val="22"/>
          <w:szCs w:val="22"/>
        </w:rPr>
      </w:pPr>
      <w:r>
        <w:rPr>
          <w:b/>
          <w:bCs/>
          <w:sz w:val="22"/>
          <w:szCs w:val="22"/>
        </w:rPr>
        <w:t>Data comunque come appurata l’elevata influenza delle condizioni meteo climatiche sulla situazione in termini di inquinamento atmosferico urbano, restano comunque imprescindibili le azioni strutturali di contrasto che mirano a ridurre l’impatto agendo direttamente sulle sorgenti di emissioni inquinanti, quali le misure programmate di limitazione veicolare in discorso, che, come evidenziato da ARPA, in questi anni hanno portato ad una riduzione delle criticità inquinanti su tutto il territorio regionale.</w:t>
      </w:r>
    </w:p>
    <w:p w:rsidR="003C7833" w:rsidRDefault="003C7833">
      <w:pPr>
        <w:jc w:val="center"/>
        <w:rPr>
          <w:rFonts w:ascii="Arial" w:hAnsi="Arial" w:cs="Arial"/>
          <w:b/>
          <w:bCs/>
          <w:i/>
          <w:iCs/>
          <w:sz w:val="22"/>
          <w:szCs w:val="22"/>
        </w:rPr>
      </w:pPr>
    </w:p>
    <w:p w:rsidR="003C7833" w:rsidRDefault="003C7833">
      <w:pPr>
        <w:jc w:val="center"/>
        <w:rPr>
          <w:rFonts w:ascii="Arial" w:hAnsi="Arial" w:cs="Arial"/>
          <w:sz w:val="22"/>
          <w:szCs w:val="22"/>
        </w:rPr>
      </w:pPr>
    </w:p>
    <w:p w:rsidR="003C7833" w:rsidRDefault="003C7833">
      <w:pPr>
        <w:pStyle w:val="BodyText"/>
        <w:spacing w:line="100" w:lineRule="atLeast"/>
        <w:ind w:right="-2"/>
        <w:jc w:val="right"/>
        <w:rPr>
          <w:color w:val="000000"/>
        </w:rPr>
      </w:pPr>
      <w:r>
        <w:rPr>
          <w:color w:val="000000"/>
        </w:rPr>
        <w:t>Assess. Luigi Rabuffi</w:t>
      </w:r>
    </w:p>
    <w:p w:rsidR="003C7833" w:rsidRPr="005C7B9D" w:rsidRDefault="003C7833" w:rsidP="005C7B9D">
      <w:pPr>
        <w:pStyle w:val="BodyText"/>
        <w:spacing w:line="100" w:lineRule="atLeast"/>
        <w:ind w:right="-2"/>
        <w:jc w:val="right"/>
        <w:rPr>
          <w:color w:val="000000"/>
        </w:rPr>
      </w:pPr>
      <w:r>
        <w:t>Dr. Giacomo Cerri</w:t>
      </w:r>
    </w:p>
    <w:sectPr w:rsidR="003C7833" w:rsidRPr="005C7B9D" w:rsidSect="00B47F09">
      <w:pgSz w:w="11906" w:h="16838"/>
      <w:pgMar w:top="1417" w:right="1134" w:bottom="1134" w:left="1134"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C1F3F"/>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CC96564"/>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D4233C5"/>
    <w:multiLevelType w:val="multilevel"/>
    <w:tmpl w:val="FFFFFFFF"/>
    <w:lvl w:ilvl="0">
      <w:start w:val="1"/>
      <w:numFmt w:val="bullet"/>
      <w:lvlText w:val="-"/>
      <w:lvlJc w:val="left"/>
      <w:pPr>
        <w:tabs>
          <w:tab w:val="num" w:pos="720"/>
        </w:tabs>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7F09"/>
    <w:rsid w:val="00092C18"/>
    <w:rsid w:val="00106216"/>
    <w:rsid w:val="00150D5C"/>
    <w:rsid w:val="003C7833"/>
    <w:rsid w:val="005C64F4"/>
    <w:rsid w:val="005C7B9D"/>
    <w:rsid w:val="00B47F09"/>
    <w:rsid w:val="00B53F0E"/>
    <w:rsid w:val="00DB175A"/>
    <w:rsid w:val="00E30F81"/>
    <w:rsid w:val="00F45763"/>
    <w:rsid w:val="00FD520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F09"/>
    <w:pPr>
      <w:suppressAutoHyphens/>
    </w:pPr>
    <w:rPr>
      <w:rFonts w:ascii="Times New Roman" w:hAnsi="Times New Roman"/>
      <w:sz w:val="24"/>
      <w:szCs w:val="24"/>
      <w:lang w:eastAsia="zh-CN"/>
    </w:rPr>
  </w:style>
  <w:style w:type="paragraph" w:styleId="Heading1">
    <w:name w:val="heading 1"/>
    <w:basedOn w:val="Normal"/>
    <w:next w:val="Normal"/>
    <w:link w:val="Heading1Char"/>
    <w:uiPriority w:val="99"/>
    <w:qFormat/>
    <w:rsid w:val="00B47F09"/>
    <w:pPr>
      <w:keepNext/>
      <w:numPr>
        <w:numId w:val="1"/>
      </w:numPr>
      <w:autoSpaceDE w:val="0"/>
      <w:jc w:val="center"/>
      <w:outlineLvl w:val="0"/>
    </w:pPr>
    <w:rPr>
      <w:rFonts w:ascii="Arial" w:hAnsi="Arial" w:cs="Arial"/>
      <w:b/>
      <w:bCs/>
    </w:rPr>
  </w:style>
  <w:style w:type="paragraph" w:styleId="Heading2">
    <w:name w:val="heading 2"/>
    <w:basedOn w:val="Normal"/>
    <w:next w:val="Normal"/>
    <w:link w:val="Heading2Char"/>
    <w:uiPriority w:val="99"/>
    <w:qFormat/>
    <w:rsid w:val="00B47F09"/>
    <w:pPr>
      <w:keepNext/>
      <w:numPr>
        <w:ilvl w:val="1"/>
        <w:numId w:val="1"/>
      </w:numPr>
      <w:jc w:val="center"/>
      <w:outlineLvl w:val="1"/>
    </w:pPr>
    <w:rPr>
      <w:rFonts w:ascii="Arial" w:hAnsi="Arial" w:cs="Arial"/>
      <w:b/>
      <w:bCs/>
      <w:i/>
      <w:i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rPr>
      <w:rFonts w:ascii="Cambria" w:hAnsi="Cambria" w:cs="Cambria"/>
      <w:b/>
      <w:bCs/>
      <w:i/>
      <w:iCs/>
      <w:sz w:val="28"/>
      <w:szCs w:val="28"/>
      <w:lang w:eastAsia="zh-CN"/>
    </w:rPr>
  </w:style>
  <w:style w:type="character" w:customStyle="1" w:styleId="WW8Num1z0">
    <w:name w:val="WW8Num1z0"/>
    <w:uiPriority w:val="99"/>
    <w:rsid w:val="00B47F09"/>
    <w:rPr>
      <w:rFonts w:ascii="Times New Roman" w:hAnsi="Times New Roman" w:cs="Times New Roman"/>
    </w:rPr>
  </w:style>
  <w:style w:type="character" w:customStyle="1" w:styleId="WW8Num1z1">
    <w:name w:val="WW8Num1z1"/>
    <w:uiPriority w:val="99"/>
    <w:rsid w:val="00B47F09"/>
    <w:rPr>
      <w:rFonts w:ascii="Courier New" w:hAnsi="Courier New" w:cs="Courier New"/>
    </w:rPr>
  </w:style>
  <w:style w:type="character" w:customStyle="1" w:styleId="WW8Num1z2">
    <w:name w:val="WW8Num1z2"/>
    <w:uiPriority w:val="99"/>
    <w:rsid w:val="00B47F09"/>
    <w:rPr>
      <w:rFonts w:ascii="Wingdings" w:hAnsi="Wingdings" w:cs="Wingdings"/>
    </w:rPr>
  </w:style>
  <w:style w:type="character" w:customStyle="1" w:styleId="WW8Num1z3">
    <w:name w:val="WW8Num1z3"/>
    <w:uiPriority w:val="99"/>
    <w:rsid w:val="00B47F09"/>
    <w:rPr>
      <w:rFonts w:ascii="Symbol" w:hAnsi="Symbol" w:cs="Symbol"/>
    </w:rPr>
  </w:style>
  <w:style w:type="character" w:customStyle="1" w:styleId="CollegamentoInternet">
    <w:name w:val="Collegamento Internet"/>
    <w:basedOn w:val="DefaultParagraphFont"/>
    <w:uiPriority w:val="99"/>
    <w:rsid w:val="00B47F09"/>
    <w:rPr>
      <w:color w:val="0000FF"/>
      <w:u w:val="single"/>
    </w:rPr>
  </w:style>
  <w:style w:type="character" w:customStyle="1" w:styleId="Enfasiforte">
    <w:name w:val="Enfasi forte"/>
    <w:basedOn w:val="DefaultParagraphFont"/>
    <w:uiPriority w:val="99"/>
    <w:rsid w:val="00B47F09"/>
    <w:rPr>
      <w:b/>
      <w:bCs/>
    </w:rPr>
  </w:style>
  <w:style w:type="character" w:customStyle="1" w:styleId="WW8Num2z0">
    <w:name w:val="WW8Num2z0"/>
    <w:uiPriority w:val="99"/>
    <w:rsid w:val="00B47F09"/>
    <w:rPr>
      <w:rFonts w:ascii="Times New Roman" w:hAnsi="Times New Roman" w:cs="Times New Roman"/>
    </w:rPr>
  </w:style>
  <w:style w:type="character" w:customStyle="1" w:styleId="WW8Num2z1">
    <w:name w:val="WW8Num2z1"/>
    <w:uiPriority w:val="99"/>
    <w:rsid w:val="00B47F09"/>
    <w:rPr>
      <w:rFonts w:ascii="Courier New" w:hAnsi="Courier New" w:cs="Courier New"/>
    </w:rPr>
  </w:style>
  <w:style w:type="character" w:customStyle="1" w:styleId="WW8Num2z2">
    <w:name w:val="WW8Num2z2"/>
    <w:uiPriority w:val="99"/>
    <w:rsid w:val="00B47F09"/>
    <w:rPr>
      <w:rFonts w:ascii="Wingdings" w:hAnsi="Wingdings" w:cs="Wingdings"/>
    </w:rPr>
  </w:style>
  <w:style w:type="character" w:customStyle="1" w:styleId="WW8Num2z3">
    <w:name w:val="WW8Num2z3"/>
    <w:uiPriority w:val="99"/>
    <w:rsid w:val="00B47F09"/>
    <w:rPr>
      <w:rFonts w:ascii="Symbol" w:hAnsi="Symbol" w:cs="Symbol"/>
    </w:rPr>
  </w:style>
  <w:style w:type="paragraph" w:styleId="Title">
    <w:name w:val="Title"/>
    <w:basedOn w:val="Normal"/>
    <w:next w:val="BodyText"/>
    <w:link w:val="TitleChar"/>
    <w:uiPriority w:val="99"/>
    <w:qFormat/>
    <w:rsid w:val="00B47F09"/>
    <w:pPr>
      <w:keepNext/>
      <w:spacing w:before="240" w:after="120"/>
    </w:pPr>
    <w:rPr>
      <w:rFonts w:ascii="Arial" w:eastAsia="Arial Unicode MS" w:hAnsi="Arial" w:cs="Arial"/>
      <w:sz w:val="28"/>
      <w:szCs w:val="28"/>
    </w:rPr>
  </w:style>
  <w:style w:type="character" w:customStyle="1" w:styleId="TitleChar">
    <w:name w:val="Title Char"/>
    <w:basedOn w:val="DefaultParagraphFont"/>
    <w:link w:val="Title"/>
    <w:uiPriority w:val="99"/>
    <w:rPr>
      <w:rFonts w:ascii="Cambria" w:hAnsi="Cambria" w:cs="Cambria"/>
      <w:b/>
      <w:bCs/>
      <w:kern w:val="28"/>
      <w:sz w:val="32"/>
      <w:szCs w:val="32"/>
      <w:lang w:eastAsia="zh-CN"/>
    </w:rPr>
  </w:style>
  <w:style w:type="paragraph" w:styleId="BodyText">
    <w:name w:val="Body Text"/>
    <w:basedOn w:val="Normal"/>
    <w:link w:val="BodyTextChar"/>
    <w:uiPriority w:val="99"/>
    <w:rsid w:val="00B47F09"/>
    <w:pPr>
      <w:autoSpaceDE w:val="0"/>
      <w:jc w:val="both"/>
    </w:pPr>
    <w:rPr>
      <w:rFonts w:ascii="Arial" w:hAnsi="Arial" w:cs="Arial"/>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lang w:eastAsia="zh-CN"/>
    </w:rPr>
  </w:style>
  <w:style w:type="paragraph" w:styleId="List">
    <w:name w:val="List"/>
    <w:basedOn w:val="BodyText"/>
    <w:uiPriority w:val="99"/>
    <w:rsid w:val="00B47F09"/>
  </w:style>
  <w:style w:type="paragraph" w:styleId="Caption">
    <w:name w:val="caption"/>
    <w:basedOn w:val="Normal"/>
    <w:uiPriority w:val="99"/>
    <w:qFormat/>
    <w:rsid w:val="00B47F09"/>
    <w:pPr>
      <w:suppressLineNumbers/>
      <w:spacing w:before="120" w:after="120"/>
    </w:pPr>
    <w:rPr>
      <w:i/>
      <w:iCs/>
    </w:rPr>
  </w:style>
  <w:style w:type="paragraph" w:customStyle="1" w:styleId="Indice">
    <w:name w:val="Indice"/>
    <w:basedOn w:val="Normal"/>
    <w:uiPriority w:val="99"/>
    <w:rsid w:val="00B47F09"/>
    <w:pPr>
      <w:suppressLineNumbers/>
    </w:pPr>
  </w:style>
  <w:style w:type="paragraph" w:styleId="BodyText2">
    <w:name w:val="Body Text 2"/>
    <w:basedOn w:val="Normal"/>
    <w:link w:val="BodyText2Char"/>
    <w:uiPriority w:val="99"/>
    <w:rsid w:val="00B47F09"/>
    <w:pPr>
      <w:jc w:val="center"/>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zh-CN"/>
    </w:rPr>
  </w:style>
  <w:style w:type="paragraph" w:styleId="Footer">
    <w:name w:val="footer"/>
    <w:basedOn w:val="Normal"/>
    <w:link w:val="FooterChar"/>
    <w:uiPriority w:val="99"/>
    <w:rsid w:val="00B47F09"/>
    <w:pPr>
      <w:tabs>
        <w:tab w:val="center" w:pos="4819"/>
        <w:tab w:val="right" w:pos="9638"/>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zh-CN"/>
    </w:rPr>
  </w:style>
  <w:style w:type="paragraph" w:styleId="BodyTextIndent2">
    <w:name w:val="Body Text Indent 2"/>
    <w:basedOn w:val="Normal"/>
    <w:link w:val="BodyTextIndent2Char"/>
    <w:uiPriority w:val="99"/>
    <w:rsid w:val="00B47F09"/>
    <w:pPr>
      <w:autoSpaceDE w:val="0"/>
      <w:ind w:left="360" w:hanging="360"/>
    </w:pPr>
    <w:rPr>
      <w:rFonts w:ascii="Arial" w:hAnsi="Arial" w:cs="Arial"/>
    </w:rPr>
  </w:style>
  <w:style w:type="character" w:customStyle="1" w:styleId="BodyTextIndent2Char">
    <w:name w:val="Body Text Indent 2 Char"/>
    <w:basedOn w:val="DefaultParagraphFont"/>
    <w:link w:val="BodyTextIndent2"/>
    <w:uiPriority w:val="99"/>
    <w:semiHidden/>
    <w:rPr>
      <w:rFonts w:ascii="Times New Roman" w:hAnsi="Times New Roman" w:cs="Times New Roman"/>
      <w:sz w:val="24"/>
      <w:szCs w:val="24"/>
      <w:lang w:eastAsia="zh-CN"/>
    </w:rPr>
  </w:style>
  <w:style w:type="paragraph" w:styleId="NormalWeb">
    <w:name w:val="Normal (Web)"/>
    <w:basedOn w:val="Normal"/>
    <w:uiPriority w:val="99"/>
    <w:rsid w:val="00B47F09"/>
    <w:pPr>
      <w:spacing w:before="280" w:after="280"/>
    </w:pPr>
    <w:rPr>
      <w:rFonts w:ascii="Arial Unicode MS" w:eastAsia="Arial Unicode MS" w:hAnsi="Arial Unicode MS" w:cs="Arial Unicode MS"/>
    </w:rPr>
  </w:style>
  <w:style w:type="paragraph" w:styleId="BodyText3">
    <w:name w:val="Body Text 3"/>
    <w:basedOn w:val="Normal"/>
    <w:link w:val="BodyText3Char"/>
    <w:uiPriority w:val="99"/>
    <w:rsid w:val="00B47F09"/>
    <w:pPr>
      <w:jc w:val="both"/>
    </w:pPr>
    <w:rPr>
      <w:rFonts w:ascii="Arial" w:hAnsi="Arial" w:cs="Arial"/>
    </w:rPr>
  </w:style>
  <w:style w:type="character" w:customStyle="1" w:styleId="BodyText3Char">
    <w:name w:val="Body Text 3 Char"/>
    <w:basedOn w:val="DefaultParagraphFont"/>
    <w:link w:val="BodyText3"/>
    <w:uiPriority w:val="99"/>
    <w:semiHidden/>
    <w:rPr>
      <w:rFonts w:ascii="Times New Roman" w:hAnsi="Times New Roman" w:cs="Times New Roman"/>
      <w:sz w:val="16"/>
      <w:szCs w:val="16"/>
      <w:lang w:eastAsia="zh-CN"/>
    </w:rPr>
  </w:style>
  <w:style w:type="paragraph" w:customStyle="1" w:styleId="Contenutotabella">
    <w:name w:val="Contenuto tabella"/>
    <w:basedOn w:val="Normal"/>
    <w:uiPriority w:val="99"/>
    <w:rsid w:val="00B47F09"/>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servizi.aci.it/AciTipoEuroWe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7</Pages>
  <Words>2075</Words>
  <Characters>11833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MISURE DI MITIGAZIONE DELLE EMISSIONI DA TRAFFICO IN AREA URBANA</dc:title>
  <dc:subject/>
  <dc:creator>giacomo.cerri</dc:creator>
  <cp:keywords/>
  <dc:description/>
  <cp:lastModifiedBy>luigi.rabuffi</cp:lastModifiedBy>
  <cp:revision>2</cp:revision>
  <cp:lastPrinted>2014-09-23T12:56:00Z</cp:lastPrinted>
  <dcterms:created xsi:type="dcterms:W3CDTF">2014-09-29T13:11:00Z</dcterms:created>
  <dcterms:modified xsi:type="dcterms:W3CDTF">2014-09-29T13:11:00Z</dcterms:modified>
</cp:coreProperties>
</file>